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279E6" w14:textId="77777777" w:rsidR="00896E30" w:rsidRPr="00896E30" w:rsidRDefault="00896E30" w:rsidP="00896E30">
      <w:pPr>
        <w:widowControl w:val="0"/>
        <w:autoSpaceDE w:val="0"/>
        <w:autoSpaceDN w:val="0"/>
        <w:spacing w:line="238" w:lineRule="exact"/>
        <w:ind w:left="4141" w:right="4132"/>
        <w:jc w:val="center"/>
        <w:outlineLvl w:val="0"/>
        <w:rPr>
          <w:sz w:val="22"/>
          <w:szCs w:val="22"/>
        </w:rPr>
      </w:pPr>
      <w:r w:rsidRPr="00896E30">
        <w:rPr>
          <w:b/>
          <w:bCs/>
          <w:noProof/>
          <w:sz w:val="22"/>
          <w:szCs w:val="22"/>
        </w:rPr>
        <w:drawing>
          <wp:inline distT="0" distB="0" distL="0" distR="0" wp14:anchorId="134B06E7" wp14:editId="40547D85">
            <wp:extent cx="6756400" cy="1772285"/>
            <wp:effectExtent l="0" t="0" r="635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0" cy="1772285"/>
                    </a:xfrm>
                    <a:prstGeom prst="rect">
                      <a:avLst/>
                    </a:prstGeom>
                    <a:noFill/>
                    <a:ln>
                      <a:noFill/>
                    </a:ln>
                  </pic:spPr>
                </pic:pic>
              </a:graphicData>
            </a:graphic>
          </wp:inline>
        </w:drawing>
      </w:r>
      <w:r w:rsidRPr="00896E30">
        <w:rPr>
          <w:sz w:val="22"/>
          <w:szCs w:val="22"/>
        </w:rPr>
        <w:t xml:space="preserve"> </w:t>
      </w:r>
    </w:p>
    <w:p w14:paraId="3E7B33D0" w14:textId="77777777" w:rsidR="00896E30" w:rsidRPr="00896E30" w:rsidRDefault="00896E30" w:rsidP="00896E30">
      <w:pPr>
        <w:widowControl w:val="0"/>
        <w:autoSpaceDE w:val="0"/>
        <w:autoSpaceDN w:val="0"/>
        <w:ind w:left="116"/>
        <w:jc w:val="center"/>
        <w:outlineLvl w:val="0"/>
        <w:rPr>
          <w:b/>
          <w:bCs/>
          <w:sz w:val="22"/>
          <w:szCs w:val="22"/>
        </w:rPr>
      </w:pPr>
      <w:r w:rsidRPr="00896E30">
        <w:rPr>
          <w:b/>
          <w:bCs/>
          <w:sz w:val="22"/>
          <w:szCs w:val="22"/>
        </w:rPr>
        <w:t>FOR IMMEDIATE RELEASE</w:t>
      </w:r>
    </w:p>
    <w:p w14:paraId="177F8270" w14:textId="77777777" w:rsidR="00896E30" w:rsidRPr="00896E30" w:rsidRDefault="00896E30" w:rsidP="00896E30">
      <w:pPr>
        <w:widowControl w:val="0"/>
        <w:autoSpaceDE w:val="0"/>
        <w:autoSpaceDN w:val="0"/>
        <w:ind w:left="116"/>
        <w:outlineLvl w:val="0"/>
        <w:rPr>
          <w:b/>
          <w:bCs/>
          <w:sz w:val="22"/>
          <w:szCs w:val="22"/>
        </w:rPr>
      </w:pPr>
    </w:p>
    <w:p w14:paraId="11BBCE4B" w14:textId="77777777" w:rsidR="00896E30" w:rsidRPr="00896E30" w:rsidRDefault="00896E30" w:rsidP="00896E30">
      <w:pPr>
        <w:widowControl w:val="0"/>
        <w:autoSpaceDE w:val="0"/>
        <w:autoSpaceDN w:val="0"/>
        <w:ind w:left="116"/>
        <w:jc w:val="center"/>
        <w:outlineLvl w:val="0"/>
        <w:rPr>
          <w:b/>
          <w:bCs/>
          <w:sz w:val="22"/>
          <w:szCs w:val="22"/>
          <w:lang w:val="en-CA"/>
        </w:rPr>
      </w:pPr>
      <w:r w:rsidRPr="00896E30">
        <w:rPr>
          <w:b/>
          <w:bCs/>
          <w:sz w:val="22"/>
          <w:szCs w:val="22"/>
          <w:lang w:val="en-CA"/>
        </w:rPr>
        <w:t>PLAYGON SUCCESSFULLY RECEIVES GAMING LABORATORIES INTERNATIONAL (GLI®) CERTIFICATION</w:t>
      </w:r>
    </w:p>
    <w:p w14:paraId="6CE5D149" w14:textId="77777777" w:rsidR="00896E30" w:rsidRPr="00896E30" w:rsidRDefault="00896E30" w:rsidP="00896E30">
      <w:pPr>
        <w:widowControl w:val="0"/>
        <w:autoSpaceDE w:val="0"/>
        <w:autoSpaceDN w:val="0"/>
        <w:ind w:left="116"/>
        <w:jc w:val="center"/>
        <w:outlineLvl w:val="0"/>
        <w:rPr>
          <w:sz w:val="22"/>
          <w:szCs w:val="22"/>
          <w:lang w:val="en-CA"/>
        </w:rPr>
      </w:pPr>
      <w:r w:rsidRPr="00896E30">
        <w:rPr>
          <w:b/>
          <w:bCs/>
          <w:sz w:val="22"/>
          <w:szCs w:val="22"/>
          <w:lang w:val="en-CA"/>
        </w:rPr>
        <w:t>FOR ITS LIVE DEALER GAMES FOR ONTARIO</w:t>
      </w:r>
    </w:p>
    <w:p w14:paraId="479AC6A5" w14:textId="77777777" w:rsidR="00896E30" w:rsidRPr="00896E30" w:rsidRDefault="00896E30" w:rsidP="00896E30">
      <w:pPr>
        <w:widowControl w:val="0"/>
        <w:autoSpaceDE w:val="0"/>
        <w:autoSpaceDN w:val="0"/>
        <w:ind w:left="116"/>
        <w:outlineLvl w:val="0"/>
        <w:rPr>
          <w:sz w:val="22"/>
          <w:szCs w:val="22"/>
          <w:lang w:val="en-CA"/>
        </w:rPr>
      </w:pPr>
    </w:p>
    <w:p w14:paraId="17C37BCA" w14:textId="77777777" w:rsidR="00896E30" w:rsidRPr="00896E30" w:rsidRDefault="00896E30" w:rsidP="00896E30">
      <w:pPr>
        <w:widowControl w:val="0"/>
        <w:autoSpaceDE w:val="0"/>
        <w:autoSpaceDN w:val="0"/>
        <w:ind w:left="116"/>
        <w:outlineLvl w:val="0"/>
        <w:rPr>
          <w:sz w:val="22"/>
          <w:szCs w:val="22"/>
          <w:lang w:val="en-CA"/>
        </w:rPr>
      </w:pPr>
      <w:r w:rsidRPr="00896E30">
        <w:rPr>
          <w:sz w:val="22"/>
          <w:szCs w:val="22"/>
          <w:lang w:val="en-CA"/>
        </w:rPr>
        <w:t xml:space="preserve">VANCOUVER, British Columbia – January, 22nd 2024 – </w:t>
      </w:r>
      <w:hyperlink r:id="rId9" w:history="1">
        <w:r w:rsidRPr="00896E30">
          <w:rPr>
            <w:color w:val="0000FF"/>
            <w:sz w:val="22"/>
            <w:szCs w:val="22"/>
            <w:u w:val="single"/>
            <w:lang w:val="en-CA"/>
          </w:rPr>
          <w:t>Playgon Games Inc. (TSX-V: DEAL / OTCPINK: PLGNF/ Frankfurt: 7CR)</w:t>
        </w:r>
      </w:hyperlink>
      <w:r w:rsidRPr="00896E30">
        <w:rPr>
          <w:sz w:val="22"/>
          <w:szCs w:val="22"/>
          <w:lang w:val="en-CA"/>
        </w:rPr>
        <w:t xml:space="preserve"> (“Playgon” or the “Company”), a propriety SaaS technology company delivering ‘state of the art’ mobile live dealer technology and </w:t>
      </w:r>
      <w:proofErr w:type="spellStart"/>
      <w:r w:rsidRPr="00896E30">
        <w:rPr>
          <w:sz w:val="22"/>
          <w:szCs w:val="22"/>
          <w:lang w:val="en-CA"/>
        </w:rPr>
        <w:t>eTable</w:t>
      </w:r>
      <w:proofErr w:type="spellEnd"/>
      <w:r w:rsidRPr="00896E30">
        <w:rPr>
          <w:sz w:val="22"/>
          <w:szCs w:val="22"/>
          <w:lang w:val="en-CA"/>
        </w:rPr>
        <w:t xml:space="preserve"> games to online gaming operators globally, is pleased to announce it has successfully received GLI game certification for its live dealer games in accordance with the Alcohol and Gaming Commission Ontario (“AGCO”)</w:t>
      </w:r>
      <w:r w:rsidRPr="00896E30">
        <w:rPr>
          <w:i/>
          <w:iCs/>
          <w:sz w:val="22"/>
          <w:szCs w:val="22"/>
          <w:lang w:val="en-CA"/>
        </w:rPr>
        <w:t xml:space="preserve"> </w:t>
      </w:r>
      <w:r w:rsidRPr="00896E30">
        <w:rPr>
          <w:sz w:val="22"/>
          <w:szCs w:val="22"/>
          <w:lang w:val="en-CA"/>
        </w:rPr>
        <w:t xml:space="preserve">technical requirements. Completing this certification, along with the previous GLI certification for the Las Vegas studio, positions the Company for the commercial launch into the growing Ontario online gaming market. Additional jurisdictions will be completed over time and in stages as required when the Company gets closer to customer launches, currently they </w:t>
      </w:r>
      <w:proofErr w:type="gramStart"/>
      <w:r w:rsidRPr="00896E30">
        <w:rPr>
          <w:sz w:val="22"/>
          <w:szCs w:val="22"/>
          <w:lang w:val="en-CA"/>
        </w:rPr>
        <w:t>include,</w:t>
      </w:r>
      <w:proofErr w:type="gramEnd"/>
      <w:r w:rsidRPr="00896E30">
        <w:rPr>
          <w:sz w:val="22"/>
          <w:szCs w:val="22"/>
          <w:lang w:val="en-CA"/>
        </w:rPr>
        <w:t xml:space="preserve"> Colombia, Italy and Mexico</w:t>
      </w:r>
      <w:r w:rsidRPr="00896E30">
        <w:rPr>
          <w:i/>
          <w:iCs/>
          <w:sz w:val="22"/>
          <w:szCs w:val="22"/>
          <w:lang w:val="en-CA"/>
        </w:rPr>
        <w:t>.</w:t>
      </w:r>
    </w:p>
    <w:p w14:paraId="4170B1AD" w14:textId="77777777" w:rsidR="00896E30" w:rsidRPr="00896E30" w:rsidRDefault="00896E30" w:rsidP="00896E30">
      <w:pPr>
        <w:widowControl w:val="0"/>
        <w:autoSpaceDE w:val="0"/>
        <w:autoSpaceDN w:val="0"/>
        <w:ind w:left="116"/>
        <w:outlineLvl w:val="0"/>
        <w:rPr>
          <w:i/>
          <w:iCs/>
          <w:sz w:val="22"/>
          <w:szCs w:val="22"/>
          <w:lang w:val="en-CA"/>
        </w:rPr>
      </w:pPr>
    </w:p>
    <w:p w14:paraId="1B5D03A8" w14:textId="77777777" w:rsidR="00896E30" w:rsidRPr="00896E30" w:rsidRDefault="00896E30" w:rsidP="00896E30">
      <w:pPr>
        <w:widowControl w:val="0"/>
        <w:autoSpaceDE w:val="0"/>
        <w:autoSpaceDN w:val="0"/>
        <w:ind w:left="116"/>
        <w:outlineLvl w:val="0"/>
        <w:rPr>
          <w:sz w:val="22"/>
          <w:szCs w:val="22"/>
        </w:rPr>
      </w:pPr>
      <w:r w:rsidRPr="00896E30">
        <w:rPr>
          <w:sz w:val="22"/>
          <w:szCs w:val="22"/>
          <w:lang w:val="en-CA"/>
        </w:rPr>
        <w:t>Last</w:t>
      </w:r>
      <w:r w:rsidRPr="00896E30">
        <w:rPr>
          <w:i/>
          <w:iCs/>
          <w:sz w:val="22"/>
          <w:szCs w:val="22"/>
          <w:lang w:val="en-CA"/>
        </w:rPr>
        <w:t xml:space="preserve"> </w:t>
      </w:r>
      <w:r w:rsidRPr="00896E30">
        <w:rPr>
          <w:sz w:val="22"/>
          <w:szCs w:val="22"/>
        </w:rPr>
        <w:t xml:space="preserve">year, iGaming Ontario reported that Ontarians wagered about $35.6 billion (CAD) in the first year of the market, </w:t>
      </w:r>
      <w:hyperlink r:id="rId10" w:history="1">
        <w:r w:rsidRPr="00896E30">
          <w:rPr>
            <w:color w:val="0000FF"/>
            <w:sz w:val="22"/>
            <w:szCs w:val="22"/>
            <w:u w:val="single"/>
            <w:lang w:val="en-CA"/>
          </w:rPr>
          <w:t>https://igamingontario.ca/en/news/ontario-emerges-one-north-americas-largest-igaming-markets-first-year</w:t>
        </w:r>
      </w:hyperlink>
      <w:r w:rsidRPr="00896E30">
        <w:rPr>
          <w:sz w:val="22"/>
          <w:szCs w:val="22"/>
          <w:u w:val="single"/>
          <w:lang w:val="en-CA"/>
        </w:rPr>
        <w:t>,</w:t>
      </w:r>
      <w:r w:rsidRPr="00896E30">
        <w:rPr>
          <w:sz w:val="22"/>
          <w:szCs w:val="22"/>
        </w:rPr>
        <w:t xml:space="preserve"> a massive figure for the debut of online gaming in the province. It resulted in approximately $1.4 billion in total gaming revenue over that period, a figure that places the province in the top five of all North American jurisdictions, according to iGaming Ontario. Recently iGaming Ontario just released record breaking number through three quarters of their 2023 year, beating the 2022 numbers with wagering surpassing $45.4 billion, up 27.5%, and gaming revenues at $1.74 billion, up 24%, </w:t>
      </w:r>
      <w:hyperlink r:id="rId11" w:history="1">
        <w:r w:rsidRPr="00896E30">
          <w:rPr>
            <w:color w:val="0000FF"/>
            <w:sz w:val="22"/>
            <w:szCs w:val="22"/>
            <w:u w:val="single"/>
          </w:rPr>
          <w:t>https://igamingontario.ca/en/news/igaming-ontarios-fy-2023-24-q3-market-performance-report</w:t>
        </w:r>
      </w:hyperlink>
      <w:r w:rsidRPr="00896E30">
        <w:rPr>
          <w:sz w:val="22"/>
          <w:szCs w:val="22"/>
        </w:rPr>
        <w:t xml:space="preserve">. </w:t>
      </w:r>
    </w:p>
    <w:p w14:paraId="5A61F449" w14:textId="77777777" w:rsidR="00896E30" w:rsidRPr="00896E30" w:rsidRDefault="00896E30" w:rsidP="00896E30">
      <w:pPr>
        <w:widowControl w:val="0"/>
        <w:autoSpaceDE w:val="0"/>
        <w:autoSpaceDN w:val="0"/>
        <w:ind w:left="116"/>
        <w:outlineLvl w:val="0"/>
        <w:rPr>
          <w:sz w:val="22"/>
          <w:szCs w:val="22"/>
        </w:rPr>
      </w:pPr>
    </w:p>
    <w:p w14:paraId="7AE56D75" w14:textId="77777777" w:rsidR="00896E30" w:rsidRPr="00896E30" w:rsidRDefault="00896E30" w:rsidP="00896E30">
      <w:pPr>
        <w:widowControl w:val="0"/>
        <w:autoSpaceDE w:val="0"/>
        <w:autoSpaceDN w:val="0"/>
        <w:ind w:left="116"/>
        <w:outlineLvl w:val="0"/>
        <w:rPr>
          <w:sz w:val="22"/>
          <w:szCs w:val="22"/>
          <w:lang w:val="en-CA"/>
        </w:rPr>
      </w:pPr>
      <w:r w:rsidRPr="00896E30">
        <w:rPr>
          <w:sz w:val="22"/>
          <w:szCs w:val="22"/>
          <w:lang w:val="en-CA"/>
        </w:rPr>
        <w:t xml:space="preserve">“We are excited to be part of this growing North American market,” comments Darcy Krogh, CEO of Playgon Games Inc. “We have a number of commitments to take our </w:t>
      </w:r>
      <w:proofErr w:type="spellStart"/>
      <w:r w:rsidRPr="00896E30">
        <w:rPr>
          <w:sz w:val="22"/>
          <w:szCs w:val="22"/>
          <w:lang w:val="en-CA"/>
        </w:rPr>
        <w:t>VegasLounge</w:t>
      </w:r>
      <w:proofErr w:type="spellEnd"/>
      <w:r w:rsidRPr="00896E30">
        <w:rPr>
          <w:sz w:val="22"/>
          <w:szCs w:val="22"/>
          <w:lang w:val="en-CA"/>
        </w:rPr>
        <w:t xml:space="preserve">™ live dealer offering into Ontario and this </w:t>
      </w:r>
      <w:proofErr w:type="gramStart"/>
      <w:r w:rsidRPr="00896E30">
        <w:rPr>
          <w:sz w:val="22"/>
          <w:szCs w:val="22"/>
          <w:lang w:val="en-CA"/>
        </w:rPr>
        <w:t>GLI  certification</w:t>
      </w:r>
      <w:proofErr w:type="gramEnd"/>
      <w:r w:rsidRPr="00896E30">
        <w:rPr>
          <w:sz w:val="22"/>
          <w:szCs w:val="22"/>
          <w:lang w:val="en-CA"/>
        </w:rPr>
        <w:t xml:space="preserve">, was the last step we needed prior to the launch in this market.” Mr. Krogh adds, “Casino gaming represents over 70% of wagering and revenues in Ontario so this gaming </w:t>
      </w:r>
      <w:proofErr w:type="spellStart"/>
      <w:r w:rsidRPr="00896E30">
        <w:rPr>
          <w:sz w:val="22"/>
          <w:szCs w:val="22"/>
          <w:lang w:val="en-CA"/>
        </w:rPr>
        <w:t>jurisdication</w:t>
      </w:r>
      <w:proofErr w:type="spellEnd"/>
      <w:r w:rsidRPr="00896E30">
        <w:rPr>
          <w:sz w:val="22"/>
          <w:szCs w:val="22"/>
          <w:lang w:val="en-CA"/>
        </w:rPr>
        <w:t xml:space="preserve"> is absolutely a key market for us.”</w:t>
      </w:r>
    </w:p>
    <w:p w14:paraId="4EA512A5" w14:textId="77777777" w:rsidR="00896E30" w:rsidRPr="00896E30" w:rsidRDefault="00896E30" w:rsidP="00896E30">
      <w:pPr>
        <w:widowControl w:val="0"/>
        <w:autoSpaceDE w:val="0"/>
        <w:autoSpaceDN w:val="0"/>
        <w:ind w:left="116"/>
        <w:outlineLvl w:val="0"/>
        <w:rPr>
          <w:sz w:val="22"/>
          <w:szCs w:val="22"/>
          <w:lang w:val="en-CA"/>
        </w:rPr>
      </w:pPr>
    </w:p>
    <w:p w14:paraId="2DC92892" w14:textId="77777777" w:rsidR="00896E30" w:rsidRPr="00896E30" w:rsidRDefault="00896E30" w:rsidP="00896E30">
      <w:pPr>
        <w:widowControl w:val="0"/>
        <w:autoSpaceDE w:val="0"/>
        <w:autoSpaceDN w:val="0"/>
        <w:ind w:left="116"/>
        <w:outlineLvl w:val="0"/>
        <w:rPr>
          <w:sz w:val="22"/>
          <w:szCs w:val="22"/>
          <w:lang w:val="en-CA"/>
        </w:rPr>
      </w:pPr>
      <w:r w:rsidRPr="00896E30">
        <w:rPr>
          <w:sz w:val="22"/>
          <w:szCs w:val="22"/>
        </w:rPr>
        <w:t>Completion of Shares for Debt Transaction</w:t>
      </w:r>
    </w:p>
    <w:p w14:paraId="192640B5" w14:textId="77777777" w:rsidR="00896E30" w:rsidRPr="00896E30" w:rsidRDefault="00896E30" w:rsidP="00896E30">
      <w:pPr>
        <w:widowControl w:val="0"/>
        <w:autoSpaceDE w:val="0"/>
        <w:autoSpaceDN w:val="0"/>
        <w:ind w:left="116"/>
        <w:outlineLvl w:val="0"/>
        <w:rPr>
          <w:sz w:val="22"/>
          <w:szCs w:val="22"/>
          <w:lang w:val="en-CA"/>
        </w:rPr>
      </w:pPr>
      <w:r w:rsidRPr="00896E30">
        <w:rPr>
          <w:sz w:val="22"/>
          <w:szCs w:val="22"/>
          <w:lang w:val="en-CA"/>
        </w:rPr>
        <w:t> </w:t>
      </w:r>
    </w:p>
    <w:p w14:paraId="6B8D2729" w14:textId="77777777" w:rsidR="00896E30" w:rsidRPr="00896E30" w:rsidRDefault="00896E30" w:rsidP="00896E30">
      <w:pPr>
        <w:widowControl w:val="0"/>
        <w:autoSpaceDE w:val="0"/>
        <w:autoSpaceDN w:val="0"/>
        <w:ind w:left="116"/>
        <w:outlineLvl w:val="0"/>
        <w:rPr>
          <w:sz w:val="22"/>
          <w:szCs w:val="22"/>
        </w:rPr>
      </w:pPr>
      <w:r w:rsidRPr="00896E30">
        <w:rPr>
          <w:sz w:val="22"/>
          <w:szCs w:val="22"/>
        </w:rPr>
        <w:t xml:space="preserve">The Company further announces that it has completed its previously announced shares for debt transactions. As part of the transactions, the Company issued an aggregate of 10,645,000 common shares of the Company in full and final settlement of $532,250 in aggregate debt representing interest owed as </w:t>
      </w:r>
      <w:proofErr w:type="gramStart"/>
      <w:r w:rsidRPr="00896E30">
        <w:rPr>
          <w:sz w:val="22"/>
          <w:szCs w:val="22"/>
        </w:rPr>
        <w:t>at</w:t>
      </w:r>
      <w:proofErr w:type="gramEnd"/>
      <w:r w:rsidRPr="00896E30">
        <w:rPr>
          <w:sz w:val="22"/>
          <w:szCs w:val="22"/>
        </w:rPr>
        <w:t xml:space="preserve"> December 31, 2023 on the previously issued unsecured convertible debentures of the Company. Of the 10,645,000 common shares of the Company that were issued, an aggregate of 6,000,000 common shares were issued to a related party of the Company. </w:t>
      </w:r>
      <w:proofErr w:type="gramStart"/>
      <w:r w:rsidRPr="00896E30">
        <w:rPr>
          <w:sz w:val="22"/>
          <w:szCs w:val="22"/>
        </w:rPr>
        <w:t>All of</w:t>
      </w:r>
      <w:proofErr w:type="gramEnd"/>
      <w:r w:rsidRPr="00896E30">
        <w:rPr>
          <w:sz w:val="22"/>
          <w:szCs w:val="22"/>
        </w:rPr>
        <w:t xml:space="preserve"> the common shares </w:t>
      </w:r>
      <w:r w:rsidRPr="00896E30">
        <w:rPr>
          <w:sz w:val="22"/>
          <w:szCs w:val="22"/>
        </w:rPr>
        <w:lastRenderedPageBreak/>
        <w:t>were issued at a deemed price of $0.05 per share. The portion of the transaction involving the related party constitutes a “related party transaction” pursuant to Multilateral Instrument 61-101 (“MI 61-101”) and TSXV Policy 5.9. The Company is exempt from the formal valuation and minority shareholder approval requirements of MI 61-101 as neither the fair market value of the subject matter of, nor the fair market value of the consideration for, the transaction, insofar as it involves interested parties, exceeds 25% of the Company’s market capitalization.</w:t>
      </w:r>
    </w:p>
    <w:p w14:paraId="21242DB5" w14:textId="77777777" w:rsidR="00896E30" w:rsidRPr="00896E30" w:rsidRDefault="00896E30" w:rsidP="00896E30">
      <w:pPr>
        <w:widowControl w:val="0"/>
        <w:autoSpaceDE w:val="0"/>
        <w:autoSpaceDN w:val="0"/>
        <w:ind w:left="116"/>
        <w:outlineLvl w:val="0"/>
        <w:rPr>
          <w:b/>
          <w:bCs/>
          <w:sz w:val="22"/>
          <w:szCs w:val="22"/>
        </w:rPr>
      </w:pPr>
    </w:p>
    <w:p w14:paraId="03FA3C1E" w14:textId="77777777" w:rsidR="00896E30" w:rsidRPr="00896E30" w:rsidRDefault="00896E30" w:rsidP="00896E30">
      <w:pPr>
        <w:widowControl w:val="0"/>
        <w:autoSpaceDE w:val="0"/>
        <w:autoSpaceDN w:val="0"/>
        <w:ind w:left="116"/>
        <w:outlineLvl w:val="0"/>
        <w:rPr>
          <w:b/>
          <w:bCs/>
          <w:sz w:val="22"/>
          <w:szCs w:val="22"/>
        </w:rPr>
      </w:pPr>
    </w:p>
    <w:p w14:paraId="31E109B1" w14:textId="77777777" w:rsidR="00896E30" w:rsidRPr="00896E30" w:rsidRDefault="00896E30" w:rsidP="00896E30">
      <w:pPr>
        <w:widowControl w:val="0"/>
        <w:autoSpaceDE w:val="0"/>
        <w:autoSpaceDN w:val="0"/>
        <w:ind w:left="116"/>
        <w:outlineLvl w:val="0"/>
        <w:rPr>
          <w:b/>
          <w:bCs/>
          <w:sz w:val="22"/>
          <w:szCs w:val="22"/>
        </w:rPr>
      </w:pPr>
      <w:r w:rsidRPr="00896E30">
        <w:rPr>
          <w:b/>
          <w:bCs/>
          <w:sz w:val="22"/>
          <w:szCs w:val="22"/>
        </w:rPr>
        <w:t>About</w:t>
      </w:r>
      <w:r w:rsidRPr="00896E30">
        <w:rPr>
          <w:b/>
          <w:bCs/>
          <w:spacing w:val="-5"/>
          <w:sz w:val="22"/>
          <w:szCs w:val="22"/>
        </w:rPr>
        <w:t xml:space="preserve"> </w:t>
      </w:r>
      <w:r w:rsidRPr="00896E30">
        <w:rPr>
          <w:b/>
          <w:bCs/>
          <w:sz w:val="22"/>
          <w:szCs w:val="22"/>
        </w:rPr>
        <w:t>Playgon</w:t>
      </w:r>
      <w:r w:rsidRPr="00896E30">
        <w:rPr>
          <w:b/>
          <w:bCs/>
          <w:spacing w:val="-2"/>
          <w:sz w:val="22"/>
          <w:szCs w:val="22"/>
        </w:rPr>
        <w:t xml:space="preserve"> </w:t>
      </w:r>
      <w:r w:rsidRPr="00896E30">
        <w:rPr>
          <w:b/>
          <w:bCs/>
          <w:sz w:val="22"/>
          <w:szCs w:val="22"/>
        </w:rPr>
        <w:t>Games</w:t>
      </w:r>
      <w:r w:rsidRPr="00896E30">
        <w:rPr>
          <w:b/>
          <w:bCs/>
          <w:spacing w:val="-1"/>
          <w:sz w:val="22"/>
          <w:szCs w:val="22"/>
        </w:rPr>
        <w:t xml:space="preserve"> </w:t>
      </w:r>
      <w:r w:rsidRPr="00896E30">
        <w:rPr>
          <w:b/>
          <w:bCs/>
          <w:spacing w:val="-4"/>
          <w:sz w:val="22"/>
          <w:szCs w:val="22"/>
        </w:rPr>
        <w:t>Inc.</w:t>
      </w:r>
    </w:p>
    <w:p w14:paraId="213D8705" w14:textId="77777777" w:rsidR="00896E30" w:rsidRPr="00896E30" w:rsidRDefault="00896E30" w:rsidP="00896E30">
      <w:pPr>
        <w:widowControl w:val="0"/>
        <w:autoSpaceDE w:val="0"/>
        <w:autoSpaceDN w:val="0"/>
        <w:spacing w:before="1"/>
        <w:rPr>
          <w:b/>
          <w:sz w:val="22"/>
          <w:szCs w:val="22"/>
        </w:rPr>
      </w:pPr>
    </w:p>
    <w:p w14:paraId="50719BBD" w14:textId="77777777" w:rsidR="00896E30" w:rsidRPr="00896E30" w:rsidRDefault="00896E30" w:rsidP="00896E30">
      <w:pPr>
        <w:widowControl w:val="0"/>
        <w:autoSpaceDE w:val="0"/>
        <w:autoSpaceDN w:val="0"/>
        <w:ind w:left="116" w:right="107"/>
        <w:jc w:val="both"/>
        <w:rPr>
          <w:sz w:val="22"/>
          <w:szCs w:val="22"/>
        </w:rPr>
      </w:pPr>
      <w:r w:rsidRPr="00896E30">
        <w:rPr>
          <w:sz w:val="22"/>
          <w:szCs w:val="22"/>
        </w:rPr>
        <w:t xml:space="preserve">Playgon is a SaaS technology company focused on developing and licensing digital content for the growing iGaming market. The Company provides a multi-tenant gateway that allows online operators the ability to offer their customers innovative iGaming software solutions. Its current software platform includes Live Dealer Casino, E-Table </w:t>
      </w:r>
      <w:proofErr w:type="gramStart"/>
      <w:r w:rsidRPr="00896E30">
        <w:rPr>
          <w:sz w:val="22"/>
          <w:szCs w:val="22"/>
        </w:rPr>
        <w:t>games</w:t>
      </w:r>
      <w:proofErr w:type="gramEnd"/>
      <w:r w:rsidRPr="00896E30">
        <w:rPr>
          <w:spacing w:val="-3"/>
          <w:sz w:val="22"/>
          <w:szCs w:val="22"/>
        </w:rPr>
        <w:t xml:space="preserve"> </w:t>
      </w:r>
      <w:r w:rsidRPr="00896E30">
        <w:rPr>
          <w:sz w:val="22"/>
          <w:szCs w:val="22"/>
        </w:rPr>
        <w:t>and</w:t>
      </w:r>
      <w:r w:rsidRPr="00896E30">
        <w:rPr>
          <w:spacing w:val="-4"/>
          <w:sz w:val="22"/>
          <w:szCs w:val="22"/>
        </w:rPr>
        <w:t xml:space="preserve"> </w:t>
      </w:r>
      <w:r w:rsidRPr="00896E30">
        <w:rPr>
          <w:sz w:val="22"/>
          <w:szCs w:val="22"/>
        </w:rPr>
        <w:t>Daily Fantasy</w:t>
      </w:r>
      <w:r w:rsidRPr="00896E30">
        <w:rPr>
          <w:spacing w:val="-3"/>
          <w:sz w:val="22"/>
          <w:szCs w:val="22"/>
        </w:rPr>
        <w:t xml:space="preserve"> </w:t>
      </w:r>
      <w:r w:rsidRPr="00896E30">
        <w:rPr>
          <w:sz w:val="22"/>
          <w:szCs w:val="22"/>
        </w:rPr>
        <w:t>Sports,</w:t>
      </w:r>
      <w:r w:rsidRPr="00896E30">
        <w:rPr>
          <w:spacing w:val="-2"/>
          <w:sz w:val="22"/>
          <w:szCs w:val="22"/>
        </w:rPr>
        <w:t xml:space="preserve"> </w:t>
      </w:r>
      <w:r w:rsidRPr="00896E30">
        <w:rPr>
          <w:sz w:val="22"/>
          <w:szCs w:val="22"/>
        </w:rPr>
        <w:t>which,</w:t>
      </w:r>
      <w:r w:rsidRPr="00896E30">
        <w:rPr>
          <w:spacing w:val="-2"/>
          <w:sz w:val="22"/>
          <w:szCs w:val="22"/>
        </w:rPr>
        <w:t xml:space="preserve"> </w:t>
      </w:r>
      <w:r w:rsidRPr="00896E30">
        <w:rPr>
          <w:sz w:val="22"/>
          <w:szCs w:val="22"/>
        </w:rPr>
        <w:t>through</w:t>
      </w:r>
      <w:r w:rsidRPr="00896E30">
        <w:rPr>
          <w:spacing w:val="-2"/>
          <w:sz w:val="22"/>
          <w:szCs w:val="22"/>
        </w:rPr>
        <w:t xml:space="preserve"> </w:t>
      </w:r>
      <w:r w:rsidRPr="00896E30">
        <w:rPr>
          <w:sz w:val="22"/>
          <w:szCs w:val="22"/>
        </w:rPr>
        <w:t>a</w:t>
      </w:r>
      <w:r w:rsidRPr="00896E30">
        <w:rPr>
          <w:spacing w:val="-2"/>
          <w:sz w:val="22"/>
          <w:szCs w:val="22"/>
        </w:rPr>
        <w:t xml:space="preserve"> </w:t>
      </w:r>
      <w:r w:rsidRPr="00896E30">
        <w:rPr>
          <w:sz w:val="22"/>
          <w:szCs w:val="22"/>
        </w:rPr>
        <w:t>seamless</w:t>
      </w:r>
      <w:r w:rsidRPr="00896E30">
        <w:rPr>
          <w:spacing w:val="-3"/>
          <w:sz w:val="22"/>
          <w:szCs w:val="22"/>
        </w:rPr>
        <w:t xml:space="preserve"> </w:t>
      </w:r>
      <w:r w:rsidRPr="00896E30">
        <w:rPr>
          <w:sz w:val="22"/>
          <w:szCs w:val="22"/>
        </w:rPr>
        <w:t>integration</w:t>
      </w:r>
      <w:r w:rsidRPr="00896E30">
        <w:rPr>
          <w:spacing w:val="-2"/>
          <w:sz w:val="22"/>
          <w:szCs w:val="22"/>
        </w:rPr>
        <w:t xml:space="preserve"> </w:t>
      </w:r>
      <w:r w:rsidRPr="00896E30">
        <w:rPr>
          <w:sz w:val="22"/>
          <w:szCs w:val="22"/>
        </w:rPr>
        <w:t>at</w:t>
      </w:r>
      <w:r w:rsidRPr="00896E30">
        <w:rPr>
          <w:spacing w:val="-4"/>
          <w:sz w:val="22"/>
          <w:szCs w:val="22"/>
        </w:rPr>
        <w:t xml:space="preserve"> </w:t>
      </w:r>
      <w:r w:rsidRPr="00896E30">
        <w:rPr>
          <w:sz w:val="22"/>
          <w:szCs w:val="22"/>
        </w:rPr>
        <w:t>the</w:t>
      </w:r>
      <w:r w:rsidRPr="00896E30">
        <w:rPr>
          <w:spacing w:val="-2"/>
          <w:sz w:val="22"/>
          <w:szCs w:val="22"/>
        </w:rPr>
        <w:t xml:space="preserve"> </w:t>
      </w:r>
      <w:r w:rsidRPr="00896E30">
        <w:rPr>
          <w:sz w:val="22"/>
          <w:szCs w:val="22"/>
        </w:rPr>
        <w:t>operator level,</w:t>
      </w:r>
      <w:r w:rsidRPr="00896E30">
        <w:rPr>
          <w:spacing w:val="-3"/>
          <w:sz w:val="22"/>
          <w:szCs w:val="22"/>
        </w:rPr>
        <w:t xml:space="preserve"> </w:t>
      </w:r>
      <w:r w:rsidRPr="00896E30">
        <w:rPr>
          <w:sz w:val="22"/>
          <w:szCs w:val="22"/>
        </w:rPr>
        <w:t>allows</w:t>
      </w:r>
      <w:r w:rsidRPr="00896E30">
        <w:rPr>
          <w:spacing w:val="-1"/>
          <w:sz w:val="22"/>
          <w:szCs w:val="22"/>
        </w:rPr>
        <w:t xml:space="preserve"> </w:t>
      </w:r>
      <w:r w:rsidRPr="00896E30">
        <w:rPr>
          <w:sz w:val="22"/>
          <w:szCs w:val="22"/>
        </w:rPr>
        <w:t xml:space="preserve">customer access without having to share or compromise any sensitive customer data. As a true business-to-business digital content provider, the Company’s products are ideal turn-key solutions for online casinos, sportsbook operators, land-based operators, media groups, and big database companies. For further information, please visit the Company's website at </w:t>
      </w:r>
      <w:hyperlink r:id="rId12">
        <w:r w:rsidRPr="00896E30">
          <w:rPr>
            <w:color w:val="0000FF"/>
            <w:sz w:val="22"/>
            <w:szCs w:val="22"/>
            <w:u w:val="single" w:color="0000FF"/>
          </w:rPr>
          <w:t>www.playgon.com</w:t>
        </w:r>
        <w:r w:rsidRPr="00896E30">
          <w:rPr>
            <w:sz w:val="22"/>
            <w:szCs w:val="22"/>
          </w:rPr>
          <w:t>.</w:t>
        </w:r>
      </w:hyperlink>
    </w:p>
    <w:p w14:paraId="31708218" w14:textId="77777777" w:rsidR="00896E30" w:rsidRPr="00896E30" w:rsidRDefault="00896E30" w:rsidP="00896E30">
      <w:pPr>
        <w:widowControl w:val="0"/>
        <w:autoSpaceDE w:val="0"/>
        <w:autoSpaceDN w:val="0"/>
        <w:spacing w:before="5"/>
        <w:rPr>
          <w:sz w:val="17"/>
          <w:szCs w:val="22"/>
        </w:rPr>
      </w:pPr>
    </w:p>
    <w:p w14:paraId="443BA3CB" w14:textId="77777777" w:rsidR="00896E30" w:rsidRPr="00896E30" w:rsidRDefault="00896E30" w:rsidP="00896E30">
      <w:pPr>
        <w:widowControl w:val="0"/>
        <w:autoSpaceDE w:val="0"/>
        <w:autoSpaceDN w:val="0"/>
        <w:spacing w:before="56"/>
        <w:ind w:left="116" w:right="7209"/>
        <w:rPr>
          <w:sz w:val="22"/>
          <w:szCs w:val="22"/>
        </w:rPr>
      </w:pPr>
      <w:r w:rsidRPr="00896E30">
        <w:rPr>
          <w:sz w:val="22"/>
          <w:szCs w:val="22"/>
        </w:rPr>
        <w:t>For</w:t>
      </w:r>
      <w:r w:rsidRPr="00896E30">
        <w:rPr>
          <w:spacing w:val="-13"/>
          <w:sz w:val="22"/>
          <w:szCs w:val="22"/>
        </w:rPr>
        <w:t xml:space="preserve"> </w:t>
      </w:r>
      <w:r w:rsidRPr="00896E30">
        <w:rPr>
          <w:sz w:val="22"/>
          <w:szCs w:val="22"/>
        </w:rPr>
        <w:t>further</w:t>
      </w:r>
      <w:r w:rsidRPr="00896E30">
        <w:rPr>
          <w:spacing w:val="-12"/>
          <w:sz w:val="22"/>
          <w:szCs w:val="22"/>
        </w:rPr>
        <w:t xml:space="preserve"> </w:t>
      </w:r>
      <w:r w:rsidRPr="00896E30">
        <w:rPr>
          <w:sz w:val="22"/>
          <w:szCs w:val="22"/>
        </w:rPr>
        <w:t>information,</w:t>
      </w:r>
      <w:r w:rsidRPr="00896E30">
        <w:rPr>
          <w:spacing w:val="-13"/>
          <w:sz w:val="22"/>
          <w:szCs w:val="22"/>
        </w:rPr>
        <w:t xml:space="preserve"> </w:t>
      </w:r>
      <w:r w:rsidRPr="00896E30">
        <w:rPr>
          <w:sz w:val="22"/>
          <w:szCs w:val="22"/>
        </w:rPr>
        <w:t xml:space="preserve">contact: Mike </w:t>
      </w:r>
      <w:proofErr w:type="spellStart"/>
      <w:r w:rsidRPr="00896E30">
        <w:rPr>
          <w:sz w:val="22"/>
          <w:szCs w:val="22"/>
        </w:rPr>
        <w:t>Marrandino</w:t>
      </w:r>
      <w:proofErr w:type="spellEnd"/>
      <w:r w:rsidRPr="00896E30">
        <w:rPr>
          <w:sz w:val="22"/>
          <w:szCs w:val="22"/>
        </w:rPr>
        <w:t>, Director</w:t>
      </w:r>
    </w:p>
    <w:p w14:paraId="3F076AC1" w14:textId="77777777" w:rsidR="00896E30" w:rsidRPr="00896E30" w:rsidRDefault="00896E30" w:rsidP="00896E30">
      <w:pPr>
        <w:widowControl w:val="0"/>
        <w:autoSpaceDE w:val="0"/>
        <w:autoSpaceDN w:val="0"/>
        <w:ind w:left="116"/>
        <w:rPr>
          <w:sz w:val="22"/>
          <w:szCs w:val="22"/>
        </w:rPr>
      </w:pPr>
      <w:r w:rsidRPr="00896E30">
        <w:rPr>
          <w:sz w:val="22"/>
          <w:szCs w:val="22"/>
        </w:rPr>
        <w:t>Tel:</w:t>
      </w:r>
      <w:r w:rsidRPr="00896E30">
        <w:rPr>
          <w:spacing w:val="-4"/>
          <w:sz w:val="22"/>
          <w:szCs w:val="22"/>
        </w:rPr>
        <w:t xml:space="preserve"> </w:t>
      </w:r>
      <w:r w:rsidRPr="00896E30">
        <w:rPr>
          <w:sz w:val="22"/>
          <w:szCs w:val="22"/>
        </w:rPr>
        <w:t>(604)</w:t>
      </w:r>
      <w:r w:rsidRPr="00896E30">
        <w:rPr>
          <w:spacing w:val="-2"/>
          <w:sz w:val="22"/>
          <w:szCs w:val="22"/>
        </w:rPr>
        <w:t xml:space="preserve"> </w:t>
      </w:r>
      <w:r w:rsidRPr="00896E30">
        <w:rPr>
          <w:sz w:val="22"/>
          <w:szCs w:val="22"/>
        </w:rPr>
        <w:t>722-</w:t>
      </w:r>
      <w:r w:rsidRPr="00896E30">
        <w:rPr>
          <w:spacing w:val="-4"/>
          <w:sz w:val="22"/>
          <w:szCs w:val="22"/>
        </w:rPr>
        <w:t>5225</w:t>
      </w:r>
    </w:p>
    <w:p w14:paraId="1A9736F2" w14:textId="77777777" w:rsidR="00896E30" w:rsidRPr="00896E30" w:rsidRDefault="00896E30" w:rsidP="00896E30">
      <w:pPr>
        <w:widowControl w:val="0"/>
        <w:autoSpaceDE w:val="0"/>
        <w:autoSpaceDN w:val="0"/>
        <w:ind w:left="116"/>
        <w:rPr>
          <w:sz w:val="22"/>
          <w:szCs w:val="22"/>
        </w:rPr>
      </w:pPr>
      <w:r w:rsidRPr="00896E30">
        <w:rPr>
          <w:sz w:val="22"/>
          <w:szCs w:val="22"/>
        </w:rPr>
        <w:t>Email:</w:t>
      </w:r>
      <w:r w:rsidRPr="00896E30">
        <w:rPr>
          <w:spacing w:val="-4"/>
          <w:sz w:val="22"/>
          <w:szCs w:val="22"/>
        </w:rPr>
        <w:t xml:space="preserve"> </w:t>
      </w:r>
      <w:hyperlink r:id="rId13">
        <w:r w:rsidRPr="00896E30">
          <w:rPr>
            <w:spacing w:val="-2"/>
            <w:sz w:val="22"/>
            <w:szCs w:val="22"/>
          </w:rPr>
          <w:t>mikem@playgon.com</w:t>
        </w:r>
      </w:hyperlink>
    </w:p>
    <w:p w14:paraId="3623AAAC" w14:textId="77777777" w:rsidR="00896E30" w:rsidRPr="00896E30" w:rsidRDefault="00896E30" w:rsidP="00896E30">
      <w:pPr>
        <w:widowControl w:val="0"/>
        <w:autoSpaceDE w:val="0"/>
        <w:autoSpaceDN w:val="0"/>
        <w:spacing w:before="3"/>
        <w:rPr>
          <w:sz w:val="22"/>
          <w:szCs w:val="22"/>
        </w:rPr>
      </w:pPr>
    </w:p>
    <w:p w14:paraId="11574A46" w14:textId="77777777" w:rsidR="00896E30" w:rsidRPr="00896E30" w:rsidRDefault="00896E30" w:rsidP="00896E30">
      <w:pPr>
        <w:widowControl w:val="0"/>
        <w:autoSpaceDE w:val="0"/>
        <w:autoSpaceDN w:val="0"/>
        <w:ind w:left="116"/>
        <w:outlineLvl w:val="0"/>
        <w:rPr>
          <w:b/>
          <w:bCs/>
          <w:sz w:val="22"/>
          <w:szCs w:val="22"/>
        </w:rPr>
      </w:pPr>
      <w:r w:rsidRPr="00896E30">
        <w:rPr>
          <w:b/>
          <w:bCs/>
          <w:sz w:val="22"/>
          <w:szCs w:val="22"/>
        </w:rPr>
        <w:t>Forward-Looking</w:t>
      </w:r>
      <w:r w:rsidRPr="00896E30">
        <w:rPr>
          <w:b/>
          <w:bCs/>
          <w:spacing w:val="-6"/>
          <w:sz w:val="22"/>
          <w:szCs w:val="22"/>
        </w:rPr>
        <w:t xml:space="preserve"> </w:t>
      </w:r>
      <w:r w:rsidRPr="00896E30">
        <w:rPr>
          <w:b/>
          <w:bCs/>
          <w:spacing w:val="-2"/>
          <w:sz w:val="22"/>
          <w:szCs w:val="22"/>
        </w:rPr>
        <w:t>Statements</w:t>
      </w:r>
    </w:p>
    <w:p w14:paraId="5CC92556" w14:textId="77777777" w:rsidR="00896E30" w:rsidRPr="00896E30" w:rsidRDefault="00896E30" w:rsidP="00896E30">
      <w:pPr>
        <w:widowControl w:val="0"/>
        <w:autoSpaceDE w:val="0"/>
        <w:autoSpaceDN w:val="0"/>
        <w:spacing w:before="1"/>
        <w:rPr>
          <w:b/>
          <w:sz w:val="22"/>
          <w:szCs w:val="22"/>
        </w:rPr>
      </w:pPr>
    </w:p>
    <w:p w14:paraId="2BAA4024" w14:textId="77777777" w:rsidR="00896E30" w:rsidRPr="00896E30" w:rsidRDefault="00896E30" w:rsidP="00896E30">
      <w:pPr>
        <w:widowControl w:val="0"/>
        <w:autoSpaceDE w:val="0"/>
        <w:autoSpaceDN w:val="0"/>
        <w:ind w:left="116" w:right="101"/>
        <w:jc w:val="both"/>
        <w:rPr>
          <w:sz w:val="22"/>
          <w:szCs w:val="22"/>
        </w:rPr>
      </w:pPr>
      <w:r w:rsidRPr="00896E30">
        <w:rPr>
          <w:sz w:val="22"/>
          <w:szCs w:val="22"/>
        </w:rPr>
        <w:t>This release contains forward-looking statements, including with respect to the Company’s intended use of</w:t>
      </w:r>
      <w:r w:rsidRPr="00896E30">
        <w:rPr>
          <w:spacing w:val="40"/>
          <w:sz w:val="22"/>
          <w:szCs w:val="22"/>
        </w:rPr>
        <w:t xml:space="preserve"> </w:t>
      </w:r>
      <w:r w:rsidRPr="00896E30">
        <w:rPr>
          <w:sz w:val="22"/>
          <w:szCs w:val="22"/>
        </w:rPr>
        <w:t xml:space="preserve">proceeds from the Non-Brokered Offering, the final approval of </w:t>
      </w:r>
      <w:proofErr w:type="gramStart"/>
      <w:r w:rsidRPr="00896E30">
        <w:rPr>
          <w:sz w:val="22"/>
          <w:szCs w:val="22"/>
        </w:rPr>
        <w:t>the TSXV</w:t>
      </w:r>
      <w:proofErr w:type="gramEnd"/>
      <w:r w:rsidRPr="00896E30">
        <w:rPr>
          <w:sz w:val="22"/>
          <w:szCs w:val="22"/>
        </w:rPr>
        <w:t xml:space="preserve"> and the proposed shares for debt transaction. Forward-looking statements, without limitation, may contain the words believes, expects, anticipates, estimates, intends, plans, or similar expressions. Forward-looking statements are not </w:t>
      </w:r>
      <w:proofErr w:type="gramStart"/>
      <w:r w:rsidRPr="00896E30">
        <w:rPr>
          <w:sz w:val="22"/>
          <w:szCs w:val="22"/>
        </w:rPr>
        <w:t>guaranteeing of</w:t>
      </w:r>
      <w:proofErr w:type="gramEnd"/>
      <w:r w:rsidRPr="00896E30">
        <w:rPr>
          <w:sz w:val="22"/>
          <w:szCs w:val="22"/>
        </w:rPr>
        <w:t xml:space="preserve"> future performance.</w:t>
      </w:r>
      <w:r w:rsidRPr="00896E30">
        <w:rPr>
          <w:spacing w:val="40"/>
          <w:sz w:val="22"/>
          <w:szCs w:val="22"/>
        </w:rPr>
        <w:t xml:space="preserve"> </w:t>
      </w:r>
      <w:r w:rsidRPr="00896E30">
        <w:rPr>
          <w:sz w:val="22"/>
          <w:szCs w:val="22"/>
        </w:rPr>
        <w:t>They involve risks, uncertainties and assumptions and actual results could differ materially from those anticipated. Forward looking statements are based on the opinions and estimates of management at the date the statements</w:t>
      </w:r>
      <w:r w:rsidRPr="00896E30">
        <w:rPr>
          <w:spacing w:val="40"/>
          <w:sz w:val="22"/>
          <w:szCs w:val="22"/>
        </w:rPr>
        <w:t xml:space="preserve"> </w:t>
      </w:r>
      <w:r w:rsidRPr="00896E30">
        <w:rPr>
          <w:sz w:val="22"/>
          <w:szCs w:val="22"/>
        </w:rPr>
        <w:t xml:space="preserve">are made and are subject to a variety of risks and uncertainties and other factors that could cause actual events or results to differ materially from those projected in the forward-looking statements. Except for historical facts, the statements in this news release, as well as oral statements or other written statements made or to be made by Playgon, are forward-looking and involve risks and uncertainties. In </w:t>
      </w:r>
      <w:r w:rsidRPr="00896E30">
        <w:rPr>
          <w:sz w:val="22"/>
          <w:szCs w:val="22"/>
        </w:rPr>
        <w:lastRenderedPageBreak/>
        <w:t xml:space="preserve">the context of any forward-looking information please refer to risk factors detailed in, as well as other information contained in the Company's audited financial statements for the year ended December 31, </w:t>
      </w:r>
      <w:proofErr w:type="gramStart"/>
      <w:r w:rsidRPr="00896E30">
        <w:rPr>
          <w:sz w:val="22"/>
          <w:szCs w:val="22"/>
        </w:rPr>
        <w:t>2022</w:t>
      </w:r>
      <w:proofErr w:type="gramEnd"/>
      <w:r w:rsidRPr="00896E30">
        <w:rPr>
          <w:sz w:val="22"/>
          <w:szCs w:val="22"/>
        </w:rPr>
        <w:t xml:space="preserve"> and Management Discussion and Analysis for the year ended December 31, 2022 and other filings with Canadian securities regulators (</w:t>
      </w:r>
      <w:r w:rsidRPr="00896E30">
        <w:rPr>
          <w:color w:val="0000FF"/>
          <w:sz w:val="22"/>
          <w:szCs w:val="22"/>
          <w:u w:val="single" w:color="0000FF"/>
        </w:rPr>
        <w:t>www.sedarplus.ca</w:t>
      </w:r>
      <w:r w:rsidRPr="00896E30">
        <w:rPr>
          <w:sz w:val="22"/>
          <w:szCs w:val="22"/>
        </w:rPr>
        <w:t xml:space="preserve">). Readers are cautioned not to place undue reliance on these forward-looking statements. The forward-looking statements contained in this press release </w:t>
      </w:r>
      <w:proofErr w:type="gramStart"/>
      <w:r w:rsidRPr="00896E30">
        <w:rPr>
          <w:sz w:val="22"/>
          <w:szCs w:val="22"/>
        </w:rPr>
        <w:t>represents</w:t>
      </w:r>
      <w:proofErr w:type="gramEnd"/>
      <w:r w:rsidRPr="00896E30">
        <w:rPr>
          <w:sz w:val="22"/>
          <w:szCs w:val="22"/>
        </w:rPr>
        <w:t xml:space="preserve"> </w:t>
      </w:r>
      <w:proofErr w:type="spellStart"/>
      <w:r w:rsidRPr="00896E30">
        <w:rPr>
          <w:sz w:val="22"/>
          <w:szCs w:val="22"/>
        </w:rPr>
        <w:t>Playgon’s</w:t>
      </w:r>
      <w:proofErr w:type="spellEnd"/>
      <w:r w:rsidRPr="00896E30">
        <w:rPr>
          <w:sz w:val="22"/>
          <w:szCs w:val="22"/>
        </w:rPr>
        <w:t xml:space="preserve"> current expectations. Playgon disclaims any intention and assumes no obligation to update or revise any forward-looking information, except if required by applicable securities laws.</w:t>
      </w:r>
    </w:p>
    <w:p w14:paraId="3D6B6E22" w14:textId="77777777" w:rsidR="00896E30" w:rsidRPr="00896E30" w:rsidRDefault="00896E30" w:rsidP="00896E30">
      <w:pPr>
        <w:widowControl w:val="0"/>
        <w:autoSpaceDE w:val="0"/>
        <w:autoSpaceDN w:val="0"/>
        <w:spacing w:before="11"/>
        <w:rPr>
          <w:sz w:val="21"/>
          <w:szCs w:val="22"/>
        </w:rPr>
      </w:pPr>
    </w:p>
    <w:p w14:paraId="55BCB710" w14:textId="77777777" w:rsidR="00896E30" w:rsidRDefault="00896E30" w:rsidP="00896E30">
      <w:pPr>
        <w:widowControl w:val="0"/>
        <w:autoSpaceDE w:val="0"/>
        <w:autoSpaceDN w:val="0"/>
        <w:ind w:left="1520" w:hanging="1296"/>
        <w:rPr>
          <w:i/>
          <w:spacing w:val="-4"/>
          <w:sz w:val="22"/>
          <w:szCs w:val="22"/>
        </w:rPr>
      </w:pPr>
      <w:r w:rsidRPr="00896E30">
        <w:rPr>
          <w:i/>
          <w:sz w:val="22"/>
          <w:szCs w:val="22"/>
        </w:rPr>
        <w:t>Neither</w:t>
      </w:r>
      <w:r w:rsidRPr="00896E30">
        <w:rPr>
          <w:i/>
          <w:spacing w:val="-2"/>
          <w:sz w:val="22"/>
          <w:szCs w:val="22"/>
        </w:rPr>
        <w:t xml:space="preserve"> </w:t>
      </w:r>
      <w:r w:rsidRPr="00896E30">
        <w:rPr>
          <w:i/>
          <w:sz w:val="22"/>
          <w:szCs w:val="22"/>
        </w:rPr>
        <w:t>TSX</w:t>
      </w:r>
      <w:r w:rsidRPr="00896E30">
        <w:rPr>
          <w:i/>
          <w:spacing w:val="-4"/>
          <w:sz w:val="22"/>
          <w:szCs w:val="22"/>
        </w:rPr>
        <w:t xml:space="preserve"> </w:t>
      </w:r>
      <w:r w:rsidRPr="00896E30">
        <w:rPr>
          <w:i/>
          <w:sz w:val="22"/>
          <w:szCs w:val="22"/>
        </w:rPr>
        <w:t>Venture</w:t>
      </w:r>
      <w:r w:rsidRPr="00896E30">
        <w:rPr>
          <w:i/>
          <w:spacing w:val="-2"/>
          <w:sz w:val="22"/>
          <w:szCs w:val="22"/>
        </w:rPr>
        <w:t xml:space="preserve"> </w:t>
      </w:r>
      <w:r w:rsidRPr="00896E30">
        <w:rPr>
          <w:i/>
          <w:sz w:val="22"/>
          <w:szCs w:val="22"/>
        </w:rPr>
        <w:t>Exchange</w:t>
      </w:r>
      <w:r w:rsidRPr="00896E30">
        <w:rPr>
          <w:i/>
          <w:spacing w:val="-2"/>
          <w:sz w:val="22"/>
          <w:szCs w:val="22"/>
        </w:rPr>
        <w:t xml:space="preserve"> </w:t>
      </w:r>
      <w:r w:rsidRPr="00896E30">
        <w:rPr>
          <w:i/>
          <w:sz w:val="22"/>
          <w:szCs w:val="22"/>
        </w:rPr>
        <w:t>nor</w:t>
      </w:r>
      <w:r w:rsidRPr="00896E30">
        <w:rPr>
          <w:i/>
          <w:spacing w:val="-1"/>
          <w:sz w:val="22"/>
          <w:szCs w:val="22"/>
        </w:rPr>
        <w:t xml:space="preserve"> </w:t>
      </w:r>
      <w:r w:rsidRPr="00896E30">
        <w:rPr>
          <w:i/>
          <w:sz w:val="22"/>
          <w:szCs w:val="22"/>
        </w:rPr>
        <w:t>its</w:t>
      </w:r>
      <w:r w:rsidRPr="00896E30">
        <w:rPr>
          <w:i/>
          <w:spacing w:val="-4"/>
          <w:sz w:val="22"/>
          <w:szCs w:val="22"/>
        </w:rPr>
        <w:t xml:space="preserve"> </w:t>
      </w:r>
      <w:r w:rsidRPr="00896E30">
        <w:rPr>
          <w:i/>
          <w:sz w:val="22"/>
          <w:szCs w:val="22"/>
        </w:rPr>
        <w:t>Regulation</w:t>
      </w:r>
      <w:r w:rsidRPr="00896E30">
        <w:rPr>
          <w:i/>
          <w:spacing w:val="-7"/>
          <w:sz w:val="22"/>
          <w:szCs w:val="22"/>
        </w:rPr>
        <w:t xml:space="preserve"> </w:t>
      </w:r>
      <w:r w:rsidRPr="00896E30">
        <w:rPr>
          <w:i/>
          <w:sz w:val="22"/>
          <w:szCs w:val="22"/>
        </w:rPr>
        <w:t>Services</w:t>
      </w:r>
      <w:r w:rsidRPr="00896E30">
        <w:rPr>
          <w:i/>
          <w:spacing w:val="-2"/>
          <w:sz w:val="22"/>
          <w:szCs w:val="22"/>
        </w:rPr>
        <w:t xml:space="preserve"> </w:t>
      </w:r>
      <w:r w:rsidRPr="00896E30">
        <w:rPr>
          <w:i/>
          <w:sz w:val="22"/>
          <w:szCs w:val="22"/>
        </w:rPr>
        <w:t>Provider</w:t>
      </w:r>
      <w:r w:rsidRPr="00896E30">
        <w:rPr>
          <w:i/>
          <w:spacing w:val="-1"/>
          <w:sz w:val="22"/>
          <w:szCs w:val="22"/>
        </w:rPr>
        <w:t xml:space="preserve"> </w:t>
      </w:r>
      <w:r w:rsidRPr="00896E30">
        <w:rPr>
          <w:i/>
          <w:sz w:val="22"/>
          <w:szCs w:val="22"/>
        </w:rPr>
        <w:t>(as</w:t>
      </w:r>
      <w:r w:rsidRPr="00896E30">
        <w:rPr>
          <w:i/>
          <w:spacing w:val="-4"/>
          <w:sz w:val="22"/>
          <w:szCs w:val="22"/>
        </w:rPr>
        <w:t xml:space="preserve"> </w:t>
      </w:r>
      <w:r w:rsidRPr="00896E30">
        <w:rPr>
          <w:i/>
          <w:sz w:val="22"/>
          <w:szCs w:val="22"/>
        </w:rPr>
        <w:t>that</w:t>
      </w:r>
      <w:r w:rsidRPr="00896E30">
        <w:rPr>
          <w:i/>
          <w:spacing w:val="-2"/>
          <w:sz w:val="22"/>
          <w:szCs w:val="22"/>
        </w:rPr>
        <w:t xml:space="preserve"> </w:t>
      </w:r>
      <w:r w:rsidRPr="00896E30">
        <w:rPr>
          <w:i/>
          <w:sz w:val="22"/>
          <w:szCs w:val="22"/>
        </w:rPr>
        <w:t>term</w:t>
      </w:r>
      <w:r w:rsidRPr="00896E30">
        <w:rPr>
          <w:i/>
          <w:spacing w:val="-2"/>
          <w:sz w:val="22"/>
          <w:szCs w:val="22"/>
        </w:rPr>
        <w:t xml:space="preserve"> </w:t>
      </w:r>
      <w:r w:rsidRPr="00896E30">
        <w:rPr>
          <w:i/>
          <w:sz w:val="22"/>
          <w:szCs w:val="22"/>
        </w:rPr>
        <w:t>is</w:t>
      </w:r>
      <w:r w:rsidRPr="00896E30">
        <w:rPr>
          <w:i/>
          <w:spacing w:val="-2"/>
          <w:sz w:val="22"/>
          <w:szCs w:val="22"/>
        </w:rPr>
        <w:t xml:space="preserve"> </w:t>
      </w:r>
      <w:r w:rsidRPr="00896E30">
        <w:rPr>
          <w:i/>
          <w:sz w:val="22"/>
          <w:szCs w:val="22"/>
        </w:rPr>
        <w:t>defined</w:t>
      </w:r>
      <w:r w:rsidRPr="00896E30">
        <w:rPr>
          <w:i/>
          <w:spacing w:val="-3"/>
          <w:sz w:val="22"/>
          <w:szCs w:val="22"/>
        </w:rPr>
        <w:t xml:space="preserve"> </w:t>
      </w:r>
      <w:r w:rsidRPr="00896E30">
        <w:rPr>
          <w:i/>
          <w:sz w:val="22"/>
          <w:szCs w:val="22"/>
        </w:rPr>
        <w:t>in</w:t>
      </w:r>
      <w:r w:rsidRPr="00896E30">
        <w:rPr>
          <w:i/>
          <w:spacing w:val="-2"/>
          <w:sz w:val="22"/>
          <w:szCs w:val="22"/>
        </w:rPr>
        <w:t xml:space="preserve"> </w:t>
      </w:r>
      <w:r w:rsidRPr="00896E30">
        <w:rPr>
          <w:i/>
          <w:sz w:val="22"/>
          <w:szCs w:val="22"/>
        </w:rPr>
        <w:t>the</w:t>
      </w:r>
    </w:p>
    <w:p w14:paraId="5A7B32EC" w14:textId="77777777" w:rsidR="00896E30" w:rsidRDefault="00896E30" w:rsidP="00896E30">
      <w:pPr>
        <w:widowControl w:val="0"/>
        <w:autoSpaceDE w:val="0"/>
        <w:autoSpaceDN w:val="0"/>
        <w:ind w:left="1520" w:hanging="1296"/>
        <w:rPr>
          <w:i/>
          <w:sz w:val="22"/>
          <w:szCs w:val="22"/>
        </w:rPr>
      </w:pPr>
      <w:r w:rsidRPr="00896E30">
        <w:rPr>
          <w:i/>
          <w:sz w:val="22"/>
          <w:szCs w:val="22"/>
        </w:rPr>
        <w:t>policies</w:t>
      </w:r>
      <w:r w:rsidRPr="00896E30">
        <w:rPr>
          <w:i/>
          <w:spacing w:val="-2"/>
          <w:sz w:val="22"/>
          <w:szCs w:val="22"/>
        </w:rPr>
        <w:t xml:space="preserve"> </w:t>
      </w:r>
      <w:r w:rsidRPr="00896E30">
        <w:rPr>
          <w:i/>
          <w:sz w:val="22"/>
          <w:szCs w:val="22"/>
        </w:rPr>
        <w:t>of</w:t>
      </w:r>
      <w:r w:rsidRPr="00896E30">
        <w:rPr>
          <w:i/>
          <w:spacing w:val="-5"/>
          <w:sz w:val="22"/>
          <w:szCs w:val="22"/>
        </w:rPr>
        <w:t xml:space="preserve"> </w:t>
      </w:r>
      <w:r w:rsidRPr="00896E30">
        <w:rPr>
          <w:i/>
          <w:sz w:val="22"/>
          <w:szCs w:val="22"/>
        </w:rPr>
        <w:t>the</w:t>
      </w:r>
      <w:r w:rsidRPr="00896E30">
        <w:rPr>
          <w:i/>
          <w:spacing w:val="-2"/>
          <w:sz w:val="22"/>
          <w:szCs w:val="22"/>
        </w:rPr>
        <w:t xml:space="preserve"> </w:t>
      </w:r>
      <w:r w:rsidRPr="00896E30">
        <w:rPr>
          <w:i/>
          <w:sz w:val="22"/>
          <w:szCs w:val="22"/>
        </w:rPr>
        <w:t xml:space="preserve">TSX Venture Exchange) accepts responsibility for the adequacy or accuracy of </w:t>
      </w:r>
      <w:proofErr w:type="gramStart"/>
      <w:r w:rsidRPr="00896E30">
        <w:rPr>
          <w:i/>
          <w:sz w:val="22"/>
          <w:szCs w:val="22"/>
        </w:rPr>
        <w:t>this</w:t>
      </w:r>
      <w:proofErr w:type="gramEnd"/>
      <w:r w:rsidRPr="00896E30">
        <w:rPr>
          <w:i/>
          <w:sz w:val="22"/>
          <w:szCs w:val="22"/>
        </w:rPr>
        <w:t xml:space="preserve"> </w:t>
      </w:r>
    </w:p>
    <w:p w14:paraId="5D6CEC03" w14:textId="435D66AB" w:rsidR="00896E30" w:rsidRPr="00896E30" w:rsidRDefault="00896E30" w:rsidP="00896E30">
      <w:pPr>
        <w:widowControl w:val="0"/>
        <w:autoSpaceDE w:val="0"/>
        <w:autoSpaceDN w:val="0"/>
        <w:ind w:left="1520" w:hanging="1296"/>
        <w:rPr>
          <w:i/>
          <w:sz w:val="22"/>
          <w:szCs w:val="22"/>
        </w:rPr>
      </w:pPr>
      <w:r>
        <w:rPr>
          <w:i/>
          <w:sz w:val="22"/>
          <w:szCs w:val="22"/>
        </w:rPr>
        <w:t>r</w:t>
      </w:r>
      <w:r w:rsidRPr="00896E30">
        <w:rPr>
          <w:i/>
          <w:sz w:val="22"/>
          <w:szCs w:val="22"/>
        </w:rPr>
        <w:t>elease.</w:t>
      </w:r>
    </w:p>
    <w:p w14:paraId="5F24A695" w14:textId="278BD579" w:rsidR="00E31086" w:rsidRPr="00D95E8B" w:rsidRDefault="00E31086" w:rsidP="00D95E8B"/>
    <w:sectPr w:rsidR="00E31086" w:rsidRPr="00D95E8B" w:rsidSect="00B4709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34" w:footer="42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2862B" w14:textId="77777777" w:rsidR="00B47097" w:rsidRDefault="00B47097">
      <w:r>
        <w:separator/>
      </w:r>
    </w:p>
  </w:endnote>
  <w:endnote w:type="continuationSeparator" w:id="0">
    <w:p w14:paraId="7B015E55" w14:textId="77777777" w:rsidR="00B47097" w:rsidRDefault="00B47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Light">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97C2" w14:textId="77777777" w:rsidR="006C2178" w:rsidRDefault="006C21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4DEE" w14:textId="77777777" w:rsidR="00E51C62" w:rsidRDefault="00E51C62">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9264" behindDoc="0" locked="0" layoutInCell="1" hidden="0" allowOverlap="1" wp14:anchorId="20F02A30" wp14:editId="388F2710">
          <wp:simplePos x="0" y="0"/>
          <wp:positionH relativeFrom="column">
            <wp:posOffset>-914399</wp:posOffset>
          </wp:positionH>
          <wp:positionV relativeFrom="paragraph">
            <wp:posOffset>15240</wp:posOffset>
          </wp:positionV>
          <wp:extent cx="7772400" cy="42672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2400" cy="4267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1972D" w14:textId="77777777" w:rsidR="006C2178" w:rsidRDefault="006C2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6735A" w14:textId="77777777" w:rsidR="00B47097" w:rsidRDefault="00B47097">
      <w:r>
        <w:separator/>
      </w:r>
    </w:p>
  </w:footnote>
  <w:footnote w:type="continuationSeparator" w:id="0">
    <w:p w14:paraId="5340162C" w14:textId="77777777" w:rsidR="00B47097" w:rsidRDefault="00B47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2E2E" w14:textId="77777777" w:rsidR="00E51C62" w:rsidRDefault="006E1CD1">
    <w:pPr>
      <w:pBdr>
        <w:top w:val="nil"/>
        <w:left w:val="nil"/>
        <w:bottom w:val="nil"/>
        <w:right w:val="nil"/>
        <w:between w:val="nil"/>
      </w:pBdr>
      <w:tabs>
        <w:tab w:val="center" w:pos="4680"/>
        <w:tab w:val="right" w:pos="9360"/>
      </w:tabs>
      <w:rPr>
        <w:color w:val="000000"/>
      </w:rPr>
    </w:pPr>
    <w:r>
      <w:rPr>
        <w:noProof/>
        <w:color w:val="000000"/>
      </w:rPr>
      <w:pict w14:anchorId="33548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Global-letterhead-WORD-6" style="position:absolute;margin-left:0;margin-top:0;width:612pt;height:11in;z-index:-251660288;mso-wrap-edited:f;mso-width-percent:0;mso-height-percent:0;mso-position-horizontal:center;mso-position-horizontal-relative:margin;mso-position-vertical:center;mso-position-vertical-relative:margin;mso-width-percent:0;mso-height-percent:0" o:allowincell="f">
          <v:imagedata r:id="rId1" o:title="Global-letterhead-WORD-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7D6F" w14:textId="462D1643" w:rsidR="00E51C62" w:rsidRDefault="00E51C62">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60288" behindDoc="0" locked="0" layoutInCell="1" allowOverlap="1" wp14:anchorId="4ABBD750" wp14:editId="2D16A3E7">
          <wp:simplePos x="0" y="0"/>
          <wp:positionH relativeFrom="page">
            <wp:posOffset>-9524</wp:posOffset>
          </wp:positionH>
          <wp:positionV relativeFrom="page">
            <wp:align>top</wp:align>
          </wp:positionV>
          <wp:extent cx="7781925" cy="200469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781925" cy="20046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856C" w14:textId="77777777" w:rsidR="00E51C62" w:rsidRDefault="006E1CD1">
    <w:pPr>
      <w:pBdr>
        <w:top w:val="nil"/>
        <w:left w:val="nil"/>
        <w:bottom w:val="nil"/>
        <w:right w:val="nil"/>
        <w:between w:val="nil"/>
      </w:pBdr>
      <w:tabs>
        <w:tab w:val="center" w:pos="4680"/>
        <w:tab w:val="right" w:pos="9360"/>
      </w:tabs>
      <w:rPr>
        <w:color w:val="000000"/>
      </w:rPr>
    </w:pPr>
    <w:r>
      <w:rPr>
        <w:noProof/>
        <w:color w:val="000000"/>
      </w:rPr>
      <w:pict w14:anchorId="66DA7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Global-letterhead-WORD-6" style="position:absolute;margin-left:0;margin-top:0;width:612pt;height:11in;z-index:-251659264;mso-wrap-edited:f;mso-width-percent:0;mso-height-percent:0;mso-position-horizontal:center;mso-position-horizontal-relative:margin;mso-position-vertical:center;mso-position-vertical-relative:margin;mso-width-percent:0;mso-height-percent:0" o:allowincell="f">
          <v:imagedata r:id="rId1" o:title="Global-letterhead-WORD-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6F98"/>
    <w:multiLevelType w:val="hybridMultilevel"/>
    <w:tmpl w:val="DCE834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3302806"/>
    <w:multiLevelType w:val="hybridMultilevel"/>
    <w:tmpl w:val="DF66D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0379C"/>
    <w:multiLevelType w:val="hybridMultilevel"/>
    <w:tmpl w:val="5062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21BC8"/>
    <w:multiLevelType w:val="hybridMultilevel"/>
    <w:tmpl w:val="A04027F0"/>
    <w:lvl w:ilvl="0" w:tplc="6284F182">
      <w:start w:val="5"/>
      <w:numFmt w:val="bullet"/>
      <w:lvlText w:val="-"/>
      <w:lvlJc w:val="left"/>
      <w:pPr>
        <w:ind w:left="720" w:hanging="360"/>
      </w:pPr>
      <w:rPr>
        <w:rFonts w:ascii="Calibri" w:eastAsia="Calibri" w:hAnsi="Calibri" w:cs="Calibr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A895582"/>
    <w:multiLevelType w:val="hybridMultilevel"/>
    <w:tmpl w:val="5220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B72791"/>
    <w:multiLevelType w:val="hybridMultilevel"/>
    <w:tmpl w:val="40AC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B06340"/>
    <w:multiLevelType w:val="hybridMultilevel"/>
    <w:tmpl w:val="9346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AC7100"/>
    <w:multiLevelType w:val="hybridMultilevel"/>
    <w:tmpl w:val="9DF89C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21599828">
    <w:abstractNumId w:val="6"/>
  </w:num>
  <w:num w:numId="2" w16cid:durableId="2131851198">
    <w:abstractNumId w:val="5"/>
  </w:num>
  <w:num w:numId="3" w16cid:durableId="210770162">
    <w:abstractNumId w:val="1"/>
  </w:num>
  <w:num w:numId="4" w16cid:durableId="923489094">
    <w:abstractNumId w:val="2"/>
  </w:num>
  <w:num w:numId="5" w16cid:durableId="1097677527">
    <w:abstractNumId w:val="4"/>
  </w:num>
  <w:num w:numId="6" w16cid:durableId="574777857">
    <w:abstractNumId w:val="0"/>
  </w:num>
  <w:num w:numId="7" w16cid:durableId="1408382743">
    <w:abstractNumId w:val="7"/>
  </w:num>
  <w:num w:numId="8" w16cid:durableId="1732000253">
    <w:abstractNumId w:val="7"/>
  </w:num>
  <w:num w:numId="9" w16cid:durableId="25102916">
    <w:abstractNumId w:val="1"/>
  </w:num>
  <w:num w:numId="10" w16cid:durableId="154997648">
    <w:abstractNumId w:val="3"/>
  </w:num>
  <w:num w:numId="11" w16cid:durableId="1894539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086"/>
    <w:rsid w:val="00013D23"/>
    <w:rsid w:val="000140E1"/>
    <w:rsid w:val="00027DBB"/>
    <w:rsid w:val="000352D2"/>
    <w:rsid w:val="00051CD4"/>
    <w:rsid w:val="00057F8D"/>
    <w:rsid w:val="00066BC8"/>
    <w:rsid w:val="00077021"/>
    <w:rsid w:val="00077132"/>
    <w:rsid w:val="00080005"/>
    <w:rsid w:val="000A6CD1"/>
    <w:rsid w:val="000B3C5F"/>
    <w:rsid w:val="000D2E86"/>
    <w:rsid w:val="000D32B5"/>
    <w:rsid w:val="000D383F"/>
    <w:rsid w:val="000D5B2E"/>
    <w:rsid w:val="000E3A5D"/>
    <w:rsid w:val="000F5B66"/>
    <w:rsid w:val="000F6F01"/>
    <w:rsid w:val="00122DE1"/>
    <w:rsid w:val="0014408E"/>
    <w:rsid w:val="001455D1"/>
    <w:rsid w:val="0016648E"/>
    <w:rsid w:val="00170ADB"/>
    <w:rsid w:val="00192AC3"/>
    <w:rsid w:val="001A47F8"/>
    <w:rsid w:val="001B5130"/>
    <w:rsid w:val="001B67C9"/>
    <w:rsid w:val="001D7332"/>
    <w:rsid w:val="001E54BF"/>
    <w:rsid w:val="001E72E6"/>
    <w:rsid w:val="001F1CAC"/>
    <w:rsid w:val="001F28F6"/>
    <w:rsid w:val="00205084"/>
    <w:rsid w:val="0021058A"/>
    <w:rsid w:val="00217AE7"/>
    <w:rsid w:val="0022020D"/>
    <w:rsid w:val="00221442"/>
    <w:rsid w:val="00242809"/>
    <w:rsid w:val="00247C6C"/>
    <w:rsid w:val="00254D42"/>
    <w:rsid w:val="00255A21"/>
    <w:rsid w:val="00256A44"/>
    <w:rsid w:val="00266BF1"/>
    <w:rsid w:val="00291D00"/>
    <w:rsid w:val="002A237F"/>
    <w:rsid w:val="002B15B6"/>
    <w:rsid w:val="002E0C9E"/>
    <w:rsid w:val="002E5696"/>
    <w:rsid w:val="002F073B"/>
    <w:rsid w:val="002F591D"/>
    <w:rsid w:val="002F5E69"/>
    <w:rsid w:val="00310C63"/>
    <w:rsid w:val="00310EB4"/>
    <w:rsid w:val="00315C54"/>
    <w:rsid w:val="00316901"/>
    <w:rsid w:val="0032009D"/>
    <w:rsid w:val="00322328"/>
    <w:rsid w:val="00360300"/>
    <w:rsid w:val="00360598"/>
    <w:rsid w:val="0037152B"/>
    <w:rsid w:val="00372156"/>
    <w:rsid w:val="003736E7"/>
    <w:rsid w:val="0037575E"/>
    <w:rsid w:val="00381CEC"/>
    <w:rsid w:val="00384D78"/>
    <w:rsid w:val="003A4EC0"/>
    <w:rsid w:val="003B1952"/>
    <w:rsid w:val="003B5819"/>
    <w:rsid w:val="003D0D17"/>
    <w:rsid w:val="003D72AE"/>
    <w:rsid w:val="003F0E0E"/>
    <w:rsid w:val="003F2DC3"/>
    <w:rsid w:val="003F4453"/>
    <w:rsid w:val="0040065F"/>
    <w:rsid w:val="00406207"/>
    <w:rsid w:val="00407537"/>
    <w:rsid w:val="00412662"/>
    <w:rsid w:val="00417676"/>
    <w:rsid w:val="00431B3A"/>
    <w:rsid w:val="00431CE7"/>
    <w:rsid w:val="004355FA"/>
    <w:rsid w:val="00452C83"/>
    <w:rsid w:val="00453007"/>
    <w:rsid w:val="004656B9"/>
    <w:rsid w:val="00466583"/>
    <w:rsid w:val="004674AC"/>
    <w:rsid w:val="0047234B"/>
    <w:rsid w:val="004A0404"/>
    <w:rsid w:val="004B32A6"/>
    <w:rsid w:val="004C1528"/>
    <w:rsid w:val="004C67E8"/>
    <w:rsid w:val="004D70CD"/>
    <w:rsid w:val="004E507F"/>
    <w:rsid w:val="004E67CC"/>
    <w:rsid w:val="004E69A2"/>
    <w:rsid w:val="004F2729"/>
    <w:rsid w:val="00507AFB"/>
    <w:rsid w:val="00517309"/>
    <w:rsid w:val="00517B15"/>
    <w:rsid w:val="00521EF2"/>
    <w:rsid w:val="00527044"/>
    <w:rsid w:val="0052775C"/>
    <w:rsid w:val="0053118B"/>
    <w:rsid w:val="00532B87"/>
    <w:rsid w:val="005349B4"/>
    <w:rsid w:val="005440D6"/>
    <w:rsid w:val="005577D6"/>
    <w:rsid w:val="00557AF0"/>
    <w:rsid w:val="00571EFE"/>
    <w:rsid w:val="0058036C"/>
    <w:rsid w:val="0059433C"/>
    <w:rsid w:val="005B50C9"/>
    <w:rsid w:val="005C307B"/>
    <w:rsid w:val="005C55FB"/>
    <w:rsid w:val="005D5E59"/>
    <w:rsid w:val="005E286B"/>
    <w:rsid w:val="005F0091"/>
    <w:rsid w:val="005F3F32"/>
    <w:rsid w:val="0060049B"/>
    <w:rsid w:val="00602846"/>
    <w:rsid w:val="00604F1B"/>
    <w:rsid w:val="00611050"/>
    <w:rsid w:val="00637493"/>
    <w:rsid w:val="00650AAA"/>
    <w:rsid w:val="006549ED"/>
    <w:rsid w:val="00670016"/>
    <w:rsid w:val="0068574F"/>
    <w:rsid w:val="006B228D"/>
    <w:rsid w:val="006C2178"/>
    <w:rsid w:val="006C2A73"/>
    <w:rsid w:val="006D2261"/>
    <w:rsid w:val="006D7A3A"/>
    <w:rsid w:val="006E1CD1"/>
    <w:rsid w:val="006E56CA"/>
    <w:rsid w:val="006F1091"/>
    <w:rsid w:val="00704FFF"/>
    <w:rsid w:val="0070794A"/>
    <w:rsid w:val="00707E11"/>
    <w:rsid w:val="007141E3"/>
    <w:rsid w:val="007167DA"/>
    <w:rsid w:val="00731D41"/>
    <w:rsid w:val="00732D6C"/>
    <w:rsid w:val="00735071"/>
    <w:rsid w:val="007430DE"/>
    <w:rsid w:val="00744697"/>
    <w:rsid w:val="007455F1"/>
    <w:rsid w:val="00747C56"/>
    <w:rsid w:val="007575AD"/>
    <w:rsid w:val="00773FBB"/>
    <w:rsid w:val="00776AA2"/>
    <w:rsid w:val="00780306"/>
    <w:rsid w:val="00783812"/>
    <w:rsid w:val="00795EA4"/>
    <w:rsid w:val="0079698B"/>
    <w:rsid w:val="007A0E0D"/>
    <w:rsid w:val="007A5CE1"/>
    <w:rsid w:val="007E1F0C"/>
    <w:rsid w:val="007F21EC"/>
    <w:rsid w:val="0080543D"/>
    <w:rsid w:val="00810C3C"/>
    <w:rsid w:val="008114FA"/>
    <w:rsid w:val="00825A0E"/>
    <w:rsid w:val="00830A43"/>
    <w:rsid w:val="00832B6F"/>
    <w:rsid w:val="00845145"/>
    <w:rsid w:val="00857C35"/>
    <w:rsid w:val="00863B40"/>
    <w:rsid w:val="00875F8E"/>
    <w:rsid w:val="00896E30"/>
    <w:rsid w:val="008A43CA"/>
    <w:rsid w:val="008A4425"/>
    <w:rsid w:val="008B1A26"/>
    <w:rsid w:val="008C1ABB"/>
    <w:rsid w:val="008C752C"/>
    <w:rsid w:val="00906358"/>
    <w:rsid w:val="00930AD8"/>
    <w:rsid w:val="0093445E"/>
    <w:rsid w:val="00935156"/>
    <w:rsid w:val="00935B29"/>
    <w:rsid w:val="00946573"/>
    <w:rsid w:val="0095709C"/>
    <w:rsid w:val="00967617"/>
    <w:rsid w:val="009774A4"/>
    <w:rsid w:val="009B3E57"/>
    <w:rsid w:val="009B7D53"/>
    <w:rsid w:val="009C42DB"/>
    <w:rsid w:val="009C6EC6"/>
    <w:rsid w:val="009D799E"/>
    <w:rsid w:val="009E0D03"/>
    <w:rsid w:val="009F2D06"/>
    <w:rsid w:val="00A04488"/>
    <w:rsid w:val="00A11AEE"/>
    <w:rsid w:val="00A11FB6"/>
    <w:rsid w:val="00A249B1"/>
    <w:rsid w:val="00A40C0D"/>
    <w:rsid w:val="00A520F0"/>
    <w:rsid w:val="00A62EB0"/>
    <w:rsid w:val="00A6379C"/>
    <w:rsid w:val="00A63BEB"/>
    <w:rsid w:val="00A67D6C"/>
    <w:rsid w:val="00A95A87"/>
    <w:rsid w:val="00AA180D"/>
    <w:rsid w:val="00AA33F3"/>
    <w:rsid w:val="00AB11D0"/>
    <w:rsid w:val="00AD25A5"/>
    <w:rsid w:val="00AE0813"/>
    <w:rsid w:val="00AE2003"/>
    <w:rsid w:val="00AE29E8"/>
    <w:rsid w:val="00AE3030"/>
    <w:rsid w:val="00AE3B63"/>
    <w:rsid w:val="00AF57EA"/>
    <w:rsid w:val="00B107AF"/>
    <w:rsid w:val="00B24423"/>
    <w:rsid w:val="00B318D1"/>
    <w:rsid w:val="00B36EA0"/>
    <w:rsid w:val="00B3781A"/>
    <w:rsid w:val="00B44CBB"/>
    <w:rsid w:val="00B47097"/>
    <w:rsid w:val="00B54A87"/>
    <w:rsid w:val="00B573D9"/>
    <w:rsid w:val="00B57EFE"/>
    <w:rsid w:val="00B65065"/>
    <w:rsid w:val="00B673B2"/>
    <w:rsid w:val="00B70FBC"/>
    <w:rsid w:val="00B72526"/>
    <w:rsid w:val="00B75F15"/>
    <w:rsid w:val="00B802E4"/>
    <w:rsid w:val="00B80F0B"/>
    <w:rsid w:val="00B9265D"/>
    <w:rsid w:val="00BC2B05"/>
    <w:rsid w:val="00BD0AF3"/>
    <w:rsid w:val="00BD67D3"/>
    <w:rsid w:val="00BE35BE"/>
    <w:rsid w:val="00BE3DCF"/>
    <w:rsid w:val="00BE7242"/>
    <w:rsid w:val="00BF64F6"/>
    <w:rsid w:val="00C00754"/>
    <w:rsid w:val="00C22213"/>
    <w:rsid w:val="00C2474E"/>
    <w:rsid w:val="00C35A3C"/>
    <w:rsid w:val="00C41187"/>
    <w:rsid w:val="00C51CD4"/>
    <w:rsid w:val="00C53C7A"/>
    <w:rsid w:val="00C57C2E"/>
    <w:rsid w:val="00C57FE4"/>
    <w:rsid w:val="00C6012A"/>
    <w:rsid w:val="00C61232"/>
    <w:rsid w:val="00C62933"/>
    <w:rsid w:val="00C70D07"/>
    <w:rsid w:val="00C760CE"/>
    <w:rsid w:val="00C95858"/>
    <w:rsid w:val="00C96DDA"/>
    <w:rsid w:val="00CA09A8"/>
    <w:rsid w:val="00CA36F3"/>
    <w:rsid w:val="00CB3C6A"/>
    <w:rsid w:val="00CB4538"/>
    <w:rsid w:val="00CB5A3D"/>
    <w:rsid w:val="00CC0FEA"/>
    <w:rsid w:val="00CC2A63"/>
    <w:rsid w:val="00CC5BE3"/>
    <w:rsid w:val="00CD00EE"/>
    <w:rsid w:val="00CD6506"/>
    <w:rsid w:val="00CE7F47"/>
    <w:rsid w:val="00D0242F"/>
    <w:rsid w:val="00D103D2"/>
    <w:rsid w:val="00D16DA3"/>
    <w:rsid w:val="00D26585"/>
    <w:rsid w:val="00D52299"/>
    <w:rsid w:val="00D87638"/>
    <w:rsid w:val="00D915D9"/>
    <w:rsid w:val="00D95E8B"/>
    <w:rsid w:val="00DA1857"/>
    <w:rsid w:val="00DA2CD4"/>
    <w:rsid w:val="00DA3F6E"/>
    <w:rsid w:val="00DA53DC"/>
    <w:rsid w:val="00DB28F9"/>
    <w:rsid w:val="00DB3E5B"/>
    <w:rsid w:val="00DB6729"/>
    <w:rsid w:val="00DC3EF2"/>
    <w:rsid w:val="00DD0DC6"/>
    <w:rsid w:val="00DD1610"/>
    <w:rsid w:val="00DE30B0"/>
    <w:rsid w:val="00DF1867"/>
    <w:rsid w:val="00DF4101"/>
    <w:rsid w:val="00DF6017"/>
    <w:rsid w:val="00E00546"/>
    <w:rsid w:val="00E0760E"/>
    <w:rsid w:val="00E17649"/>
    <w:rsid w:val="00E1785A"/>
    <w:rsid w:val="00E31086"/>
    <w:rsid w:val="00E3205B"/>
    <w:rsid w:val="00E42E58"/>
    <w:rsid w:val="00E45090"/>
    <w:rsid w:val="00E4530B"/>
    <w:rsid w:val="00E51C62"/>
    <w:rsid w:val="00E5298E"/>
    <w:rsid w:val="00E543E2"/>
    <w:rsid w:val="00E6010D"/>
    <w:rsid w:val="00E60FDF"/>
    <w:rsid w:val="00E671CE"/>
    <w:rsid w:val="00E77C9C"/>
    <w:rsid w:val="00E919D2"/>
    <w:rsid w:val="00E96508"/>
    <w:rsid w:val="00E97FBA"/>
    <w:rsid w:val="00EA14C5"/>
    <w:rsid w:val="00EA1DD5"/>
    <w:rsid w:val="00EA3A6C"/>
    <w:rsid w:val="00EB1255"/>
    <w:rsid w:val="00EC5805"/>
    <w:rsid w:val="00EE4AFC"/>
    <w:rsid w:val="00EF5D02"/>
    <w:rsid w:val="00F01845"/>
    <w:rsid w:val="00F113C0"/>
    <w:rsid w:val="00F14729"/>
    <w:rsid w:val="00F26666"/>
    <w:rsid w:val="00F3061B"/>
    <w:rsid w:val="00F30D0C"/>
    <w:rsid w:val="00F41F53"/>
    <w:rsid w:val="00F47750"/>
    <w:rsid w:val="00F47876"/>
    <w:rsid w:val="00F61826"/>
    <w:rsid w:val="00F6404E"/>
    <w:rsid w:val="00F656F3"/>
    <w:rsid w:val="00F66A75"/>
    <w:rsid w:val="00F725F4"/>
    <w:rsid w:val="00F7588A"/>
    <w:rsid w:val="00F8293F"/>
    <w:rsid w:val="00FA2000"/>
    <w:rsid w:val="00FB1DB5"/>
    <w:rsid w:val="00FB2914"/>
    <w:rsid w:val="00FC12E0"/>
    <w:rsid w:val="00FD2266"/>
    <w:rsid w:val="00FD4AA6"/>
    <w:rsid w:val="00FD54B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D66E93"/>
  <w15:docId w15:val="{F2D20D87-0CFF-4D06-AAB1-10557B0C8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785"/>
    <w:rPr>
      <w:lang w:val="en-US"/>
    </w:rPr>
  </w:style>
  <w:style w:type="paragraph" w:styleId="Heading1">
    <w:name w:val="heading 1"/>
    <w:basedOn w:val="Normal"/>
    <w:next w:val="Normal"/>
    <w:link w:val="Heading1Char"/>
    <w:uiPriority w:val="9"/>
    <w:qFormat/>
    <w:rsid w:val="00185C3C"/>
    <w:pPr>
      <w:keepNext/>
      <w:keepLines/>
      <w:spacing w:before="240"/>
      <w:outlineLvl w:val="0"/>
    </w:pPr>
    <w:rPr>
      <w:rFonts w:ascii="Calibri Light" w:eastAsia="Yu Gothic Light" w:hAnsi="Calibri Light" w:cs="Times New Roman"/>
      <w:color w:val="2F5496"/>
      <w:sz w:val="32"/>
      <w:szCs w:val="32"/>
    </w:rPr>
  </w:style>
  <w:style w:type="paragraph" w:styleId="Heading2">
    <w:name w:val="heading 2"/>
    <w:basedOn w:val="Normal"/>
    <w:next w:val="Normal"/>
    <w:link w:val="Heading2Char"/>
    <w:uiPriority w:val="9"/>
    <w:qFormat/>
    <w:rsid w:val="00FA63EB"/>
    <w:pPr>
      <w:keepNext/>
      <w:keepLines/>
      <w:spacing w:before="40"/>
      <w:outlineLvl w:val="1"/>
    </w:pPr>
    <w:rPr>
      <w:rFonts w:ascii="Calibri Light" w:eastAsia="Yu Gothic Light" w:hAnsi="Calibri Light" w:cs="Times New Roman"/>
      <w:color w:val="2F5496"/>
      <w:sz w:val="26"/>
      <w:szCs w:val="2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Header">
    <w:name w:val="header"/>
    <w:basedOn w:val="Normal"/>
    <w:link w:val="HeaderChar"/>
    <w:uiPriority w:val="99"/>
    <w:unhideWhenUsed/>
    <w:rsid w:val="00894B74"/>
    <w:pPr>
      <w:tabs>
        <w:tab w:val="center" w:pos="4680"/>
        <w:tab w:val="right" w:pos="9360"/>
      </w:tabs>
    </w:pPr>
  </w:style>
  <w:style w:type="character" w:customStyle="1" w:styleId="HeaderChar">
    <w:name w:val="Header Char"/>
    <w:basedOn w:val="DefaultParagraphFont"/>
    <w:link w:val="Header"/>
    <w:uiPriority w:val="99"/>
    <w:rsid w:val="00894B74"/>
  </w:style>
  <w:style w:type="paragraph" w:styleId="Footer">
    <w:name w:val="footer"/>
    <w:basedOn w:val="Normal"/>
    <w:link w:val="FooterChar"/>
    <w:uiPriority w:val="99"/>
    <w:unhideWhenUsed/>
    <w:rsid w:val="00894B74"/>
    <w:pPr>
      <w:tabs>
        <w:tab w:val="center" w:pos="4680"/>
        <w:tab w:val="right" w:pos="9360"/>
      </w:tabs>
    </w:pPr>
  </w:style>
  <w:style w:type="character" w:customStyle="1" w:styleId="FooterChar">
    <w:name w:val="Footer Char"/>
    <w:basedOn w:val="DefaultParagraphFont"/>
    <w:link w:val="Footer"/>
    <w:uiPriority w:val="99"/>
    <w:rsid w:val="00894B74"/>
  </w:style>
  <w:style w:type="paragraph" w:customStyle="1" w:styleId="p1">
    <w:name w:val="p1"/>
    <w:basedOn w:val="Normal"/>
    <w:rsid w:val="00894B74"/>
    <w:pPr>
      <w:spacing w:after="120" w:line="225" w:lineRule="atLeast"/>
    </w:pPr>
    <w:rPr>
      <w:rFonts w:ascii="Roboto Light" w:hAnsi="Roboto Light" w:cs="Times New Roman"/>
      <w:sz w:val="17"/>
      <w:szCs w:val="17"/>
    </w:rPr>
  </w:style>
  <w:style w:type="character" w:styleId="Hyperlink">
    <w:name w:val="Hyperlink"/>
    <w:uiPriority w:val="99"/>
    <w:unhideWhenUsed/>
    <w:rsid w:val="00894B74"/>
    <w:rPr>
      <w:color w:val="0563C1"/>
      <w:u w:val="single"/>
    </w:rPr>
  </w:style>
  <w:style w:type="character" w:customStyle="1" w:styleId="apple-converted-space">
    <w:name w:val="apple-converted-space"/>
    <w:basedOn w:val="DefaultParagraphFont"/>
    <w:rsid w:val="00894B74"/>
  </w:style>
  <w:style w:type="character" w:styleId="FollowedHyperlink">
    <w:name w:val="FollowedHyperlink"/>
    <w:uiPriority w:val="99"/>
    <w:semiHidden/>
    <w:unhideWhenUsed/>
    <w:rsid w:val="00894B74"/>
    <w:rPr>
      <w:color w:val="954F72"/>
      <w:u w:val="single"/>
    </w:rPr>
  </w:style>
  <w:style w:type="paragraph" w:customStyle="1" w:styleId="MediumList1-Accent41">
    <w:name w:val="Medium List 1 - Accent 41"/>
    <w:hidden/>
    <w:uiPriority w:val="99"/>
    <w:semiHidden/>
    <w:rsid w:val="00992158"/>
    <w:rPr>
      <w:lang w:val="en-US"/>
    </w:rPr>
  </w:style>
  <w:style w:type="character" w:customStyle="1" w:styleId="s1">
    <w:name w:val="s1"/>
    <w:rsid w:val="006F3C1C"/>
    <w:rPr>
      <w:color w:val="007FC3"/>
    </w:rPr>
  </w:style>
  <w:style w:type="paragraph" w:customStyle="1" w:styleId="MediumList2-Accent41">
    <w:name w:val="Medium List 2 - Accent 41"/>
    <w:basedOn w:val="Normal"/>
    <w:uiPriority w:val="34"/>
    <w:qFormat/>
    <w:rsid w:val="00B95ED5"/>
    <w:pPr>
      <w:ind w:left="720"/>
      <w:contextualSpacing/>
    </w:pPr>
  </w:style>
  <w:style w:type="paragraph" w:customStyle="1" w:styleId="p2">
    <w:name w:val="p2"/>
    <w:basedOn w:val="Normal"/>
    <w:rsid w:val="00B95ED5"/>
    <w:pPr>
      <w:spacing w:after="120" w:line="225" w:lineRule="atLeast"/>
    </w:pPr>
    <w:rPr>
      <w:rFonts w:ascii="Roboto Light" w:hAnsi="Roboto Light" w:cs="Times New Roman"/>
      <w:sz w:val="23"/>
      <w:szCs w:val="23"/>
    </w:rPr>
  </w:style>
  <w:style w:type="character" w:styleId="CommentReference">
    <w:name w:val="annotation reference"/>
    <w:uiPriority w:val="99"/>
    <w:semiHidden/>
    <w:unhideWhenUsed/>
    <w:rsid w:val="00756210"/>
    <w:rPr>
      <w:sz w:val="16"/>
      <w:szCs w:val="16"/>
    </w:rPr>
  </w:style>
  <w:style w:type="paragraph" w:styleId="CommentText">
    <w:name w:val="annotation text"/>
    <w:basedOn w:val="Normal"/>
    <w:link w:val="CommentTextChar"/>
    <w:uiPriority w:val="99"/>
    <w:semiHidden/>
    <w:unhideWhenUsed/>
    <w:rsid w:val="00756210"/>
    <w:rPr>
      <w:sz w:val="20"/>
      <w:szCs w:val="20"/>
    </w:rPr>
  </w:style>
  <w:style w:type="character" w:customStyle="1" w:styleId="CommentTextChar">
    <w:name w:val="Comment Text Char"/>
    <w:link w:val="CommentText"/>
    <w:uiPriority w:val="99"/>
    <w:semiHidden/>
    <w:rsid w:val="00756210"/>
    <w:rPr>
      <w:sz w:val="20"/>
      <w:szCs w:val="20"/>
    </w:rPr>
  </w:style>
  <w:style w:type="paragraph" w:styleId="CommentSubject">
    <w:name w:val="annotation subject"/>
    <w:basedOn w:val="CommentText"/>
    <w:next w:val="CommentText"/>
    <w:link w:val="CommentSubjectChar"/>
    <w:uiPriority w:val="99"/>
    <w:semiHidden/>
    <w:unhideWhenUsed/>
    <w:rsid w:val="00756210"/>
    <w:rPr>
      <w:b/>
      <w:bCs/>
    </w:rPr>
  </w:style>
  <w:style w:type="character" w:customStyle="1" w:styleId="CommentSubjectChar">
    <w:name w:val="Comment Subject Char"/>
    <w:link w:val="CommentSubject"/>
    <w:uiPriority w:val="99"/>
    <w:semiHidden/>
    <w:rsid w:val="00756210"/>
    <w:rPr>
      <w:b/>
      <w:bCs/>
      <w:sz w:val="20"/>
      <w:szCs w:val="20"/>
    </w:rPr>
  </w:style>
  <w:style w:type="paragraph" w:styleId="BalloonText">
    <w:name w:val="Balloon Text"/>
    <w:basedOn w:val="Normal"/>
    <w:link w:val="BalloonTextChar"/>
    <w:uiPriority w:val="99"/>
    <w:semiHidden/>
    <w:unhideWhenUsed/>
    <w:rsid w:val="00756210"/>
    <w:rPr>
      <w:rFonts w:ascii="Segoe UI" w:hAnsi="Segoe UI" w:cs="Segoe UI"/>
      <w:sz w:val="18"/>
      <w:szCs w:val="18"/>
    </w:rPr>
  </w:style>
  <w:style w:type="character" w:customStyle="1" w:styleId="BalloonTextChar">
    <w:name w:val="Balloon Text Char"/>
    <w:link w:val="BalloonText"/>
    <w:uiPriority w:val="99"/>
    <w:semiHidden/>
    <w:rsid w:val="00756210"/>
    <w:rPr>
      <w:rFonts w:ascii="Segoe UI" w:hAnsi="Segoe UI" w:cs="Segoe UI"/>
      <w:sz w:val="18"/>
      <w:szCs w:val="18"/>
    </w:rPr>
  </w:style>
  <w:style w:type="paragraph" w:styleId="DocumentMap">
    <w:name w:val="Document Map"/>
    <w:basedOn w:val="Normal"/>
    <w:link w:val="DocumentMapChar"/>
    <w:uiPriority w:val="99"/>
    <w:semiHidden/>
    <w:unhideWhenUsed/>
    <w:rsid w:val="00FB1615"/>
    <w:rPr>
      <w:rFonts w:ascii="Times New Roman" w:hAnsi="Times New Roman" w:cs="Times New Roman"/>
    </w:rPr>
  </w:style>
  <w:style w:type="character" w:customStyle="1" w:styleId="DocumentMapChar">
    <w:name w:val="Document Map Char"/>
    <w:link w:val="DocumentMap"/>
    <w:uiPriority w:val="99"/>
    <w:semiHidden/>
    <w:rsid w:val="00FB1615"/>
    <w:rPr>
      <w:rFonts w:ascii="Times New Roman" w:hAnsi="Times New Roman" w:cs="Times New Roman"/>
    </w:rPr>
  </w:style>
  <w:style w:type="character" w:customStyle="1" w:styleId="UnresolvedMention1">
    <w:name w:val="Unresolved Mention1"/>
    <w:uiPriority w:val="99"/>
    <w:semiHidden/>
    <w:unhideWhenUsed/>
    <w:rsid w:val="0000464F"/>
    <w:rPr>
      <w:color w:val="605E5C"/>
      <w:shd w:val="clear" w:color="auto" w:fill="E1DFDD"/>
    </w:rPr>
  </w:style>
  <w:style w:type="paragraph" w:styleId="BodyText">
    <w:name w:val="Body Text"/>
    <w:aliases w:val="bt,body text,Indent,single space,Single line,1,2,3,b,Body Text Char Char,Body Text Char1 Char Char,Body Text Char Char Char Char,Body Text Char1 Char Char Char Char,Body Text Char Char Char Char Char Char,Body Text Char1,Body"/>
    <w:basedOn w:val="Normal"/>
    <w:link w:val="BodyTextChar2"/>
    <w:rsid w:val="00B842BF"/>
    <w:pPr>
      <w:spacing w:before="240"/>
      <w:jc w:val="both"/>
    </w:pPr>
    <w:rPr>
      <w:rFonts w:ascii="Times New Roman" w:eastAsia="Times New Roman" w:hAnsi="Times New Roman" w:cs="Times New Roman"/>
      <w:sz w:val="22"/>
      <w:szCs w:val="20"/>
      <w:lang w:val="en-CA"/>
    </w:rPr>
  </w:style>
  <w:style w:type="character" w:customStyle="1" w:styleId="BodyTextChar">
    <w:name w:val="Body Text Char"/>
    <w:basedOn w:val="DefaultParagraphFont"/>
    <w:uiPriority w:val="99"/>
    <w:semiHidden/>
    <w:rsid w:val="00B842BF"/>
  </w:style>
  <w:style w:type="character" w:customStyle="1" w:styleId="BodyTextChar2">
    <w:name w:val="Body Text Char2"/>
    <w:aliases w:val="bt Char,body text Char,Indent Char,single space Char,Single line Char,1 Char,2 Char,3 Char,b Char,Body Text Char Char Char,Body Text Char1 Char Char Char,Body Text Char Char Char Char Char,Body Text Char1 Char Char Char Char Char"/>
    <w:link w:val="BodyText"/>
    <w:rsid w:val="00B842BF"/>
    <w:rPr>
      <w:rFonts w:ascii="Times New Roman" w:eastAsia="Times New Roman" w:hAnsi="Times New Roman" w:cs="Times New Roman"/>
      <w:sz w:val="22"/>
      <w:szCs w:val="20"/>
      <w:lang w:val="en-CA"/>
    </w:rPr>
  </w:style>
  <w:style w:type="paragraph" w:styleId="NormalWeb">
    <w:name w:val="Normal (Web)"/>
    <w:basedOn w:val="Normal"/>
    <w:uiPriority w:val="99"/>
    <w:unhideWhenUsed/>
    <w:rsid w:val="00873FEC"/>
    <w:pPr>
      <w:spacing w:before="100" w:beforeAutospacing="1" w:after="100" w:afterAutospacing="1"/>
    </w:pPr>
    <w:rPr>
      <w:rFonts w:ascii="Times New Roman" w:eastAsia="Times New Roman" w:hAnsi="Times New Roman" w:cs="Times New Roman"/>
    </w:rPr>
  </w:style>
  <w:style w:type="paragraph" w:customStyle="1" w:styleId="ColorfulList-Accent21">
    <w:name w:val="Colorful List - Accent 21"/>
    <w:uiPriority w:val="99"/>
    <w:qFormat/>
    <w:rsid w:val="00803615"/>
    <w:rPr>
      <w:lang w:val="en-US"/>
    </w:rPr>
  </w:style>
  <w:style w:type="character" w:customStyle="1" w:styleId="Prompt">
    <w:name w:val="Prompt"/>
    <w:aliases w:val="PR,Pr"/>
    <w:rsid w:val="00D13324"/>
    <w:rPr>
      <w:color w:val="0000FF"/>
    </w:rPr>
  </w:style>
  <w:style w:type="character" w:customStyle="1" w:styleId="Heading1Char">
    <w:name w:val="Heading 1 Char"/>
    <w:link w:val="Heading1"/>
    <w:uiPriority w:val="9"/>
    <w:rsid w:val="00185C3C"/>
    <w:rPr>
      <w:rFonts w:ascii="Calibri Light" w:eastAsia="Yu Gothic Light" w:hAnsi="Calibri Light" w:cs="Times New Roman"/>
      <w:color w:val="2F5496"/>
      <w:sz w:val="32"/>
      <w:szCs w:val="32"/>
    </w:rPr>
  </w:style>
  <w:style w:type="character" w:customStyle="1" w:styleId="td-post-date">
    <w:name w:val="td-post-date"/>
    <w:basedOn w:val="DefaultParagraphFont"/>
    <w:rsid w:val="009D75AA"/>
  </w:style>
  <w:style w:type="character" w:customStyle="1" w:styleId="td-nr-views-71007">
    <w:name w:val="td-nr-views-71007"/>
    <w:basedOn w:val="DefaultParagraphFont"/>
    <w:rsid w:val="009D75AA"/>
  </w:style>
  <w:style w:type="character" w:customStyle="1" w:styleId="bsf-rt-reading-time">
    <w:name w:val="bsf-rt-reading-time"/>
    <w:basedOn w:val="DefaultParagraphFont"/>
    <w:rsid w:val="009D75AA"/>
  </w:style>
  <w:style w:type="character" w:customStyle="1" w:styleId="UnresolvedMention2">
    <w:name w:val="Unresolved Mention2"/>
    <w:uiPriority w:val="99"/>
    <w:semiHidden/>
    <w:unhideWhenUsed/>
    <w:rsid w:val="00FC61D9"/>
    <w:rPr>
      <w:color w:val="605E5C"/>
      <w:shd w:val="clear" w:color="auto" w:fill="E1DFDD"/>
    </w:rPr>
  </w:style>
  <w:style w:type="paragraph" w:customStyle="1" w:styleId="BasicParagraph">
    <w:name w:val="[Basic Paragraph]"/>
    <w:basedOn w:val="Normal"/>
    <w:uiPriority w:val="99"/>
    <w:rsid w:val="00A74CDF"/>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2Char">
    <w:name w:val="Heading 2 Char"/>
    <w:link w:val="Heading2"/>
    <w:uiPriority w:val="9"/>
    <w:semiHidden/>
    <w:rsid w:val="00FA63EB"/>
    <w:rPr>
      <w:rFonts w:ascii="Calibri Light" w:eastAsia="Yu Gothic Light" w:hAnsi="Calibri Light" w:cs="Times New Roman"/>
      <w:color w:val="2F5496"/>
      <w:sz w:val="26"/>
      <w:szCs w:val="26"/>
    </w:rPr>
  </w:style>
  <w:style w:type="character" w:customStyle="1" w:styleId="UnresolvedMention3">
    <w:name w:val="Unresolved Mention3"/>
    <w:uiPriority w:val="99"/>
    <w:semiHidden/>
    <w:unhideWhenUsed/>
    <w:rsid w:val="00E671AF"/>
    <w:rPr>
      <w:color w:val="605E5C"/>
      <w:shd w:val="clear" w:color="auto" w:fill="E1DFDD"/>
    </w:rPr>
  </w:style>
  <w:style w:type="paragraph" w:styleId="FootnoteText">
    <w:name w:val="footnote text"/>
    <w:basedOn w:val="Normal"/>
    <w:link w:val="FootnoteTextChar"/>
    <w:uiPriority w:val="99"/>
    <w:semiHidden/>
    <w:unhideWhenUsed/>
    <w:rsid w:val="0002514E"/>
    <w:rPr>
      <w:sz w:val="20"/>
      <w:szCs w:val="20"/>
    </w:rPr>
  </w:style>
  <w:style w:type="character" w:customStyle="1" w:styleId="FootnoteTextChar">
    <w:name w:val="Footnote Text Char"/>
    <w:link w:val="FootnoteText"/>
    <w:uiPriority w:val="99"/>
    <w:semiHidden/>
    <w:rsid w:val="0002514E"/>
    <w:rPr>
      <w:lang w:val="en-US"/>
    </w:rPr>
  </w:style>
  <w:style w:type="character" w:styleId="FootnoteReference">
    <w:name w:val="footnote reference"/>
    <w:uiPriority w:val="99"/>
    <w:semiHidden/>
    <w:unhideWhenUsed/>
    <w:rsid w:val="0002514E"/>
    <w:rPr>
      <w:vertAlign w:val="superscript"/>
    </w:rPr>
  </w:style>
  <w:style w:type="character" w:customStyle="1" w:styleId="UnresolvedMention4">
    <w:name w:val="Unresolved Mention4"/>
    <w:uiPriority w:val="99"/>
    <w:semiHidden/>
    <w:unhideWhenUsed/>
    <w:rsid w:val="00C927FD"/>
    <w:rPr>
      <w:color w:val="605E5C"/>
      <w:shd w:val="clear" w:color="auto" w:fill="E1DFDD"/>
    </w:rPr>
  </w:style>
  <w:style w:type="paragraph" w:customStyle="1" w:styleId="MediumGrid2-Accent11">
    <w:name w:val="Medium Grid 2 - Accent 11"/>
    <w:uiPriority w:val="99"/>
    <w:qFormat/>
    <w:rsid w:val="005C1253"/>
    <w:rPr>
      <w:rFonts w:cs="Times New Roman"/>
      <w:lang w:val="en-US"/>
    </w:rPr>
  </w:style>
  <w:style w:type="paragraph" w:customStyle="1" w:styleId="Normal10">
    <w:name w:val="Normal1"/>
    <w:rsid w:val="00F85F7E"/>
    <w:pPr>
      <w:spacing w:line="276" w:lineRule="auto"/>
    </w:pPr>
    <w:rPr>
      <w:rFonts w:ascii="Arial" w:eastAsia="Arial" w:hAnsi="Arial"/>
      <w:sz w:val="22"/>
      <w:szCs w:val="22"/>
      <w:lang w:val="sv"/>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UnresolvedMention5">
    <w:name w:val="Unresolved Mention5"/>
    <w:basedOn w:val="DefaultParagraphFont"/>
    <w:uiPriority w:val="99"/>
    <w:semiHidden/>
    <w:unhideWhenUsed/>
    <w:rsid w:val="003F0E0E"/>
    <w:rPr>
      <w:color w:val="605E5C"/>
      <w:shd w:val="clear" w:color="auto" w:fill="E1DFDD"/>
    </w:rPr>
  </w:style>
  <w:style w:type="character" w:customStyle="1" w:styleId="article-body">
    <w:name w:val="article-body"/>
    <w:basedOn w:val="DefaultParagraphFont"/>
    <w:rsid w:val="003F0E0E"/>
  </w:style>
  <w:style w:type="paragraph" w:styleId="Revision">
    <w:name w:val="Revision"/>
    <w:hidden/>
    <w:uiPriority w:val="99"/>
    <w:semiHidden/>
    <w:rsid w:val="00E97FBA"/>
    <w:rPr>
      <w:lang w:val="en-US"/>
    </w:rPr>
  </w:style>
  <w:style w:type="character" w:customStyle="1" w:styleId="UnresolvedMention6">
    <w:name w:val="Unresolved Mention6"/>
    <w:basedOn w:val="DefaultParagraphFont"/>
    <w:uiPriority w:val="99"/>
    <w:semiHidden/>
    <w:unhideWhenUsed/>
    <w:rsid w:val="004E67CC"/>
    <w:rPr>
      <w:color w:val="605E5C"/>
      <w:shd w:val="clear" w:color="auto" w:fill="E1DFDD"/>
    </w:rPr>
  </w:style>
  <w:style w:type="paragraph" w:styleId="ListParagraph">
    <w:name w:val="List Paragraph"/>
    <w:aliases w:val="Bullet 1"/>
    <w:basedOn w:val="Normal"/>
    <w:link w:val="ListParagraphChar"/>
    <w:uiPriority w:val="34"/>
    <w:qFormat/>
    <w:rsid w:val="00170ADB"/>
    <w:pPr>
      <w:ind w:left="720"/>
      <w:contextualSpacing/>
    </w:pPr>
  </w:style>
  <w:style w:type="character" w:customStyle="1" w:styleId="fontstyle01">
    <w:name w:val="fontstyle01"/>
    <w:basedOn w:val="DefaultParagraphFont"/>
    <w:rsid w:val="00B673B2"/>
    <w:rPr>
      <w:rFonts w:ascii="Calibri" w:hAnsi="Calibri" w:cs="Calibri" w:hint="default"/>
      <w:b w:val="0"/>
      <w:bCs w:val="0"/>
      <w:i w:val="0"/>
      <w:iCs w:val="0"/>
      <w:color w:val="000000"/>
      <w:sz w:val="20"/>
      <w:szCs w:val="20"/>
    </w:rPr>
  </w:style>
  <w:style w:type="character" w:customStyle="1" w:styleId="ListParagraphChar">
    <w:name w:val="List Paragraph Char"/>
    <w:aliases w:val="Bullet 1 Char"/>
    <w:link w:val="ListParagraph"/>
    <w:uiPriority w:val="34"/>
    <w:locked/>
    <w:rsid w:val="00C760CE"/>
    <w:rPr>
      <w:lang w:val="en-US"/>
    </w:rPr>
  </w:style>
  <w:style w:type="character" w:styleId="UnresolvedMention">
    <w:name w:val="Unresolved Mention"/>
    <w:basedOn w:val="DefaultParagraphFont"/>
    <w:uiPriority w:val="99"/>
    <w:semiHidden/>
    <w:unhideWhenUsed/>
    <w:rsid w:val="00B65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868">
      <w:bodyDiv w:val="1"/>
      <w:marLeft w:val="0"/>
      <w:marRight w:val="0"/>
      <w:marTop w:val="0"/>
      <w:marBottom w:val="0"/>
      <w:divBdr>
        <w:top w:val="none" w:sz="0" w:space="0" w:color="auto"/>
        <w:left w:val="none" w:sz="0" w:space="0" w:color="auto"/>
        <w:bottom w:val="none" w:sz="0" w:space="0" w:color="auto"/>
        <w:right w:val="none" w:sz="0" w:space="0" w:color="auto"/>
      </w:divBdr>
    </w:div>
    <w:div w:id="89742554">
      <w:bodyDiv w:val="1"/>
      <w:marLeft w:val="0"/>
      <w:marRight w:val="0"/>
      <w:marTop w:val="0"/>
      <w:marBottom w:val="0"/>
      <w:divBdr>
        <w:top w:val="none" w:sz="0" w:space="0" w:color="auto"/>
        <w:left w:val="none" w:sz="0" w:space="0" w:color="auto"/>
        <w:bottom w:val="none" w:sz="0" w:space="0" w:color="auto"/>
        <w:right w:val="none" w:sz="0" w:space="0" w:color="auto"/>
      </w:divBdr>
    </w:div>
    <w:div w:id="151260519">
      <w:bodyDiv w:val="1"/>
      <w:marLeft w:val="0"/>
      <w:marRight w:val="0"/>
      <w:marTop w:val="0"/>
      <w:marBottom w:val="0"/>
      <w:divBdr>
        <w:top w:val="none" w:sz="0" w:space="0" w:color="auto"/>
        <w:left w:val="none" w:sz="0" w:space="0" w:color="auto"/>
        <w:bottom w:val="none" w:sz="0" w:space="0" w:color="auto"/>
        <w:right w:val="none" w:sz="0" w:space="0" w:color="auto"/>
      </w:divBdr>
    </w:div>
    <w:div w:id="253632306">
      <w:bodyDiv w:val="1"/>
      <w:marLeft w:val="0"/>
      <w:marRight w:val="0"/>
      <w:marTop w:val="0"/>
      <w:marBottom w:val="0"/>
      <w:divBdr>
        <w:top w:val="none" w:sz="0" w:space="0" w:color="auto"/>
        <w:left w:val="none" w:sz="0" w:space="0" w:color="auto"/>
        <w:bottom w:val="none" w:sz="0" w:space="0" w:color="auto"/>
        <w:right w:val="none" w:sz="0" w:space="0" w:color="auto"/>
      </w:divBdr>
    </w:div>
    <w:div w:id="256521921">
      <w:bodyDiv w:val="1"/>
      <w:marLeft w:val="0"/>
      <w:marRight w:val="0"/>
      <w:marTop w:val="0"/>
      <w:marBottom w:val="0"/>
      <w:divBdr>
        <w:top w:val="none" w:sz="0" w:space="0" w:color="auto"/>
        <w:left w:val="none" w:sz="0" w:space="0" w:color="auto"/>
        <w:bottom w:val="none" w:sz="0" w:space="0" w:color="auto"/>
        <w:right w:val="none" w:sz="0" w:space="0" w:color="auto"/>
      </w:divBdr>
    </w:div>
    <w:div w:id="315493904">
      <w:bodyDiv w:val="1"/>
      <w:marLeft w:val="0"/>
      <w:marRight w:val="0"/>
      <w:marTop w:val="0"/>
      <w:marBottom w:val="0"/>
      <w:divBdr>
        <w:top w:val="none" w:sz="0" w:space="0" w:color="auto"/>
        <w:left w:val="none" w:sz="0" w:space="0" w:color="auto"/>
        <w:bottom w:val="none" w:sz="0" w:space="0" w:color="auto"/>
        <w:right w:val="none" w:sz="0" w:space="0" w:color="auto"/>
      </w:divBdr>
    </w:div>
    <w:div w:id="316350484">
      <w:bodyDiv w:val="1"/>
      <w:marLeft w:val="0"/>
      <w:marRight w:val="0"/>
      <w:marTop w:val="0"/>
      <w:marBottom w:val="0"/>
      <w:divBdr>
        <w:top w:val="none" w:sz="0" w:space="0" w:color="auto"/>
        <w:left w:val="none" w:sz="0" w:space="0" w:color="auto"/>
        <w:bottom w:val="none" w:sz="0" w:space="0" w:color="auto"/>
        <w:right w:val="none" w:sz="0" w:space="0" w:color="auto"/>
      </w:divBdr>
    </w:div>
    <w:div w:id="319382018">
      <w:bodyDiv w:val="1"/>
      <w:marLeft w:val="0"/>
      <w:marRight w:val="0"/>
      <w:marTop w:val="0"/>
      <w:marBottom w:val="0"/>
      <w:divBdr>
        <w:top w:val="none" w:sz="0" w:space="0" w:color="auto"/>
        <w:left w:val="none" w:sz="0" w:space="0" w:color="auto"/>
        <w:bottom w:val="none" w:sz="0" w:space="0" w:color="auto"/>
        <w:right w:val="none" w:sz="0" w:space="0" w:color="auto"/>
      </w:divBdr>
    </w:div>
    <w:div w:id="463349643">
      <w:bodyDiv w:val="1"/>
      <w:marLeft w:val="0"/>
      <w:marRight w:val="0"/>
      <w:marTop w:val="0"/>
      <w:marBottom w:val="0"/>
      <w:divBdr>
        <w:top w:val="none" w:sz="0" w:space="0" w:color="auto"/>
        <w:left w:val="none" w:sz="0" w:space="0" w:color="auto"/>
        <w:bottom w:val="none" w:sz="0" w:space="0" w:color="auto"/>
        <w:right w:val="none" w:sz="0" w:space="0" w:color="auto"/>
      </w:divBdr>
    </w:div>
    <w:div w:id="594628340">
      <w:bodyDiv w:val="1"/>
      <w:marLeft w:val="0"/>
      <w:marRight w:val="0"/>
      <w:marTop w:val="0"/>
      <w:marBottom w:val="0"/>
      <w:divBdr>
        <w:top w:val="none" w:sz="0" w:space="0" w:color="auto"/>
        <w:left w:val="none" w:sz="0" w:space="0" w:color="auto"/>
        <w:bottom w:val="none" w:sz="0" w:space="0" w:color="auto"/>
        <w:right w:val="none" w:sz="0" w:space="0" w:color="auto"/>
      </w:divBdr>
    </w:div>
    <w:div w:id="660743211">
      <w:bodyDiv w:val="1"/>
      <w:marLeft w:val="0"/>
      <w:marRight w:val="0"/>
      <w:marTop w:val="0"/>
      <w:marBottom w:val="0"/>
      <w:divBdr>
        <w:top w:val="none" w:sz="0" w:space="0" w:color="auto"/>
        <w:left w:val="none" w:sz="0" w:space="0" w:color="auto"/>
        <w:bottom w:val="none" w:sz="0" w:space="0" w:color="auto"/>
        <w:right w:val="none" w:sz="0" w:space="0" w:color="auto"/>
      </w:divBdr>
    </w:div>
    <w:div w:id="852568023">
      <w:bodyDiv w:val="1"/>
      <w:marLeft w:val="0"/>
      <w:marRight w:val="0"/>
      <w:marTop w:val="0"/>
      <w:marBottom w:val="0"/>
      <w:divBdr>
        <w:top w:val="none" w:sz="0" w:space="0" w:color="auto"/>
        <w:left w:val="none" w:sz="0" w:space="0" w:color="auto"/>
        <w:bottom w:val="none" w:sz="0" w:space="0" w:color="auto"/>
        <w:right w:val="none" w:sz="0" w:space="0" w:color="auto"/>
      </w:divBdr>
    </w:div>
    <w:div w:id="856965186">
      <w:bodyDiv w:val="1"/>
      <w:marLeft w:val="0"/>
      <w:marRight w:val="0"/>
      <w:marTop w:val="0"/>
      <w:marBottom w:val="0"/>
      <w:divBdr>
        <w:top w:val="none" w:sz="0" w:space="0" w:color="auto"/>
        <w:left w:val="none" w:sz="0" w:space="0" w:color="auto"/>
        <w:bottom w:val="none" w:sz="0" w:space="0" w:color="auto"/>
        <w:right w:val="none" w:sz="0" w:space="0" w:color="auto"/>
      </w:divBdr>
    </w:div>
    <w:div w:id="913202991">
      <w:bodyDiv w:val="1"/>
      <w:marLeft w:val="0"/>
      <w:marRight w:val="0"/>
      <w:marTop w:val="0"/>
      <w:marBottom w:val="0"/>
      <w:divBdr>
        <w:top w:val="none" w:sz="0" w:space="0" w:color="auto"/>
        <w:left w:val="none" w:sz="0" w:space="0" w:color="auto"/>
        <w:bottom w:val="none" w:sz="0" w:space="0" w:color="auto"/>
        <w:right w:val="none" w:sz="0" w:space="0" w:color="auto"/>
      </w:divBdr>
    </w:div>
    <w:div w:id="1071543327">
      <w:bodyDiv w:val="1"/>
      <w:marLeft w:val="0"/>
      <w:marRight w:val="0"/>
      <w:marTop w:val="0"/>
      <w:marBottom w:val="0"/>
      <w:divBdr>
        <w:top w:val="none" w:sz="0" w:space="0" w:color="auto"/>
        <w:left w:val="none" w:sz="0" w:space="0" w:color="auto"/>
        <w:bottom w:val="none" w:sz="0" w:space="0" w:color="auto"/>
        <w:right w:val="none" w:sz="0" w:space="0" w:color="auto"/>
      </w:divBdr>
    </w:div>
    <w:div w:id="1271400944">
      <w:bodyDiv w:val="1"/>
      <w:marLeft w:val="0"/>
      <w:marRight w:val="0"/>
      <w:marTop w:val="0"/>
      <w:marBottom w:val="0"/>
      <w:divBdr>
        <w:top w:val="none" w:sz="0" w:space="0" w:color="auto"/>
        <w:left w:val="none" w:sz="0" w:space="0" w:color="auto"/>
        <w:bottom w:val="none" w:sz="0" w:space="0" w:color="auto"/>
        <w:right w:val="none" w:sz="0" w:space="0" w:color="auto"/>
      </w:divBdr>
    </w:div>
    <w:div w:id="1374622228">
      <w:bodyDiv w:val="1"/>
      <w:marLeft w:val="0"/>
      <w:marRight w:val="0"/>
      <w:marTop w:val="0"/>
      <w:marBottom w:val="0"/>
      <w:divBdr>
        <w:top w:val="none" w:sz="0" w:space="0" w:color="auto"/>
        <w:left w:val="none" w:sz="0" w:space="0" w:color="auto"/>
        <w:bottom w:val="none" w:sz="0" w:space="0" w:color="auto"/>
        <w:right w:val="none" w:sz="0" w:space="0" w:color="auto"/>
      </w:divBdr>
      <w:divsChild>
        <w:div w:id="1132602259">
          <w:marLeft w:val="0"/>
          <w:marRight w:val="0"/>
          <w:marTop w:val="0"/>
          <w:marBottom w:val="0"/>
          <w:divBdr>
            <w:top w:val="none" w:sz="0" w:space="0" w:color="auto"/>
            <w:left w:val="none" w:sz="0" w:space="0" w:color="auto"/>
            <w:bottom w:val="none" w:sz="0" w:space="0" w:color="auto"/>
            <w:right w:val="none" w:sz="0" w:space="0" w:color="auto"/>
          </w:divBdr>
          <w:divsChild>
            <w:div w:id="1901014308">
              <w:marLeft w:val="0"/>
              <w:marRight w:val="0"/>
              <w:marTop w:val="0"/>
              <w:marBottom w:val="0"/>
              <w:divBdr>
                <w:top w:val="none" w:sz="0" w:space="0" w:color="auto"/>
                <w:left w:val="none" w:sz="0" w:space="0" w:color="auto"/>
                <w:bottom w:val="none" w:sz="0" w:space="0" w:color="auto"/>
                <w:right w:val="none" w:sz="0" w:space="0" w:color="auto"/>
              </w:divBdr>
              <w:divsChild>
                <w:div w:id="43811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5246">
      <w:bodyDiv w:val="1"/>
      <w:marLeft w:val="0"/>
      <w:marRight w:val="0"/>
      <w:marTop w:val="0"/>
      <w:marBottom w:val="0"/>
      <w:divBdr>
        <w:top w:val="none" w:sz="0" w:space="0" w:color="auto"/>
        <w:left w:val="none" w:sz="0" w:space="0" w:color="auto"/>
        <w:bottom w:val="none" w:sz="0" w:space="0" w:color="auto"/>
        <w:right w:val="none" w:sz="0" w:space="0" w:color="auto"/>
      </w:divBdr>
    </w:div>
    <w:div w:id="1490755558">
      <w:bodyDiv w:val="1"/>
      <w:marLeft w:val="0"/>
      <w:marRight w:val="0"/>
      <w:marTop w:val="0"/>
      <w:marBottom w:val="0"/>
      <w:divBdr>
        <w:top w:val="none" w:sz="0" w:space="0" w:color="auto"/>
        <w:left w:val="none" w:sz="0" w:space="0" w:color="auto"/>
        <w:bottom w:val="none" w:sz="0" w:space="0" w:color="auto"/>
        <w:right w:val="none" w:sz="0" w:space="0" w:color="auto"/>
      </w:divBdr>
    </w:div>
    <w:div w:id="1555849724">
      <w:bodyDiv w:val="1"/>
      <w:marLeft w:val="0"/>
      <w:marRight w:val="0"/>
      <w:marTop w:val="0"/>
      <w:marBottom w:val="0"/>
      <w:divBdr>
        <w:top w:val="none" w:sz="0" w:space="0" w:color="auto"/>
        <w:left w:val="none" w:sz="0" w:space="0" w:color="auto"/>
        <w:bottom w:val="none" w:sz="0" w:space="0" w:color="auto"/>
        <w:right w:val="none" w:sz="0" w:space="0" w:color="auto"/>
      </w:divBdr>
    </w:div>
    <w:div w:id="1621305885">
      <w:bodyDiv w:val="1"/>
      <w:marLeft w:val="0"/>
      <w:marRight w:val="0"/>
      <w:marTop w:val="0"/>
      <w:marBottom w:val="0"/>
      <w:divBdr>
        <w:top w:val="none" w:sz="0" w:space="0" w:color="auto"/>
        <w:left w:val="none" w:sz="0" w:space="0" w:color="auto"/>
        <w:bottom w:val="none" w:sz="0" w:space="0" w:color="auto"/>
        <w:right w:val="none" w:sz="0" w:space="0" w:color="auto"/>
      </w:divBdr>
    </w:div>
    <w:div w:id="1638563722">
      <w:bodyDiv w:val="1"/>
      <w:marLeft w:val="0"/>
      <w:marRight w:val="0"/>
      <w:marTop w:val="0"/>
      <w:marBottom w:val="0"/>
      <w:divBdr>
        <w:top w:val="none" w:sz="0" w:space="0" w:color="auto"/>
        <w:left w:val="none" w:sz="0" w:space="0" w:color="auto"/>
        <w:bottom w:val="none" w:sz="0" w:space="0" w:color="auto"/>
        <w:right w:val="none" w:sz="0" w:space="0" w:color="auto"/>
      </w:divBdr>
    </w:div>
    <w:div w:id="1698508172">
      <w:bodyDiv w:val="1"/>
      <w:marLeft w:val="0"/>
      <w:marRight w:val="0"/>
      <w:marTop w:val="0"/>
      <w:marBottom w:val="0"/>
      <w:divBdr>
        <w:top w:val="none" w:sz="0" w:space="0" w:color="auto"/>
        <w:left w:val="none" w:sz="0" w:space="0" w:color="auto"/>
        <w:bottom w:val="none" w:sz="0" w:space="0" w:color="auto"/>
        <w:right w:val="none" w:sz="0" w:space="0" w:color="auto"/>
      </w:divBdr>
    </w:div>
    <w:div w:id="1728993404">
      <w:bodyDiv w:val="1"/>
      <w:marLeft w:val="0"/>
      <w:marRight w:val="0"/>
      <w:marTop w:val="0"/>
      <w:marBottom w:val="0"/>
      <w:divBdr>
        <w:top w:val="none" w:sz="0" w:space="0" w:color="auto"/>
        <w:left w:val="none" w:sz="0" w:space="0" w:color="auto"/>
        <w:bottom w:val="none" w:sz="0" w:space="0" w:color="auto"/>
        <w:right w:val="none" w:sz="0" w:space="0" w:color="auto"/>
      </w:divBdr>
      <w:divsChild>
        <w:div w:id="1668704626">
          <w:marLeft w:val="0"/>
          <w:marRight w:val="0"/>
          <w:marTop w:val="0"/>
          <w:marBottom w:val="0"/>
          <w:divBdr>
            <w:top w:val="none" w:sz="0" w:space="0" w:color="auto"/>
            <w:left w:val="none" w:sz="0" w:space="0" w:color="auto"/>
            <w:bottom w:val="none" w:sz="0" w:space="0" w:color="auto"/>
            <w:right w:val="none" w:sz="0" w:space="0" w:color="auto"/>
          </w:divBdr>
          <w:divsChild>
            <w:div w:id="1250038631">
              <w:marLeft w:val="0"/>
              <w:marRight w:val="0"/>
              <w:marTop w:val="0"/>
              <w:marBottom w:val="0"/>
              <w:divBdr>
                <w:top w:val="none" w:sz="0" w:space="0" w:color="auto"/>
                <w:left w:val="none" w:sz="0" w:space="0" w:color="auto"/>
                <w:bottom w:val="none" w:sz="0" w:space="0" w:color="auto"/>
                <w:right w:val="none" w:sz="0" w:space="0" w:color="auto"/>
              </w:divBdr>
              <w:divsChild>
                <w:div w:id="9879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35897">
      <w:bodyDiv w:val="1"/>
      <w:marLeft w:val="0"/>
      <w:marRight w:val="0"/>
      <w:marTop w:val="0"/>
      <w:marBottom w:val="0"/>
      <w:divBdr>
        <w:top w:val="none" w:sz="0" w:space="0" w:color="auto"/>
        <w:left w:val="none" w:sz="0" w:space="0" w:color="auto"/>
        <w:bottom w:val="none" w:sz="0" w:space="0" w:color="auto"/>
        <w:right w:val="none" w:sz="0" w:space="0" w:color="auto"/>
      </w:divBdr>
    </w:div>
    <w:div w:id="1828205945">
      <w:bodyDiv w:val="1"/>
      <w:marLeft w:val="0"/>
      <w:marRight w:val="0"/>
      <w:marTop w:val="0"/>
      <w:marBottom w:val="0"/>
      <w:divBdr>
        <w:top w:val="none" w:sz="0" w:space="0" w:color="auto"/>
        <w:left w:val="none" w:sz="0" w:space="0" w:color="auto"/>
        <w:bottom w:val="none" w:sz="0" w:space="0" w:color="auto"/>
        <w:right w:val="none" w:sz="0" w:space="0" w:color="auto"/>
      </w:divBdr>
    </w:div>
    <w:div w:id="1842425179">
      <w:bodyDiv w:val="1"/>
      <w:marLeft w:val="0"/>
      <w:marRight w:val="0"/>
      <w:marTop w:val="0"/>
      <w:marBottom w:val="0"/>
      <w:divBdr>
        <w:top w:val="none" w:sz="0" w:space="0" w:color="auto"/>
        <w:left w:val="none" w:sz="0" w:space="0" w:color="auto"/>
        <w:bottom w:val="none" w:sz="0" w:space="0" w:color="auto"/>
        <w:right w:val="none" w:sz="0" w:space="0" w:color="auto"/>
      </w:divBdr>
    </w:div>
    <w:div w:id="1869295089">
      <w:bodyDiv w:val="1"/>
      <w:marLeft w:val="0"/>
      <w:marRight w:val="0"/>
      <w:marTop w:val="0"/>
      <w:marBottom w:val="0"/>
      <w:divBdr>
        <w:top w:val="none" w:sz="0" w:space="0" w:color="auto"/>
        <w:left w:val="none" w:sz="0" w:space="0" w:color="auto"/>
        <w:bottom w:val="none" w:sz="0" w:space="0" w:color="auto"/>
        <w:right w:val="none" w:sz="0" w:space="0" w:color="auto"/>
      </w:divBdr>
    </w:div>
    <w:div w:id="1881934577">
      <w:bodyDiv w:val="1"/>
      <w:marLeft w:val="0"/>
      <w:marRight w:val="0"/>
      <w:marTop w:val="0"/>
      <w:marBottom w:val="0"/>
      <w:divBdr>
        <w:top w:val="none" w:sz="0" w:space="0" w:color="auto"/>
        <w:left w:val="none" w:sz="0" w:space="0" w:color="auto"/>
        <w:bottom w:val="none" w:sz="0" w:space="0" w:color="auto"/>
        <w:right w:val="none" w:sz="0" w:space="0" w:color="auto"/>
      </w:divBdr>
    </w:div>
    <w:div w:id="1991447086">
      <w:bodyDiv w:val="1"/>
      <w:marLeft w:val="0"/>
      <w:marRight w:val="0"/>
      <w:marTop w:val="0"/>
      <w:marBottom w:val="0"/>
      <w:divBdr>
        <w:top w:val="none" w:sz="0" w:space="0" w:color="auto"/>
        <w:left w:val="none" w:sz="0" w:space="0" w:color="auto"/>
        <w:bottom w:val="none" w:sz="0" w:space="0" w:color="auto"/>
        <w:right w:val="none" w:sz="0" w:space="0" w:color="auto"/>
      </w:divBdr>
    </w:div>
    <w:div w:id="2036611162">
      <w:bodyDiv w:val="1"/>
      <w:marLeft w:val="0"/>
      <w:marRight w:val="0"/>
      <w:marTop w:val="0"/>
      <w:marBottom w:val="0"/>
      <w:divBdr>
        <w:top w:val="none" w:sz="0" w:space="0" w:color="auto"/>
        <w:left w:val="none" w:sz="0" w:space="0" w:color="auto"/>
        <w:bottom w:val="none" w:sz="0" w:space="0" w:color="auto"/>
        <w:right w:val="none" w:sz="0" w:space="0" w:color="auto"/>
      </w:divBdr>
    </w:div>
    <w:div w:id="2075740130">
      <w:bodyDiv w:val="1"/>
      <w:marLeft w:val="0"/>
      <w:marRight w:val="0"/>
      <w:marTop w:val="0"/>
      <w:marBottom w:val="0"/>
      <w:divBdr>
        <w:top w:val="none" w:sz="0" w:space="0" w:color="auto"/>
        <w:left w:val="none" w:sz="0" w:space="0" w:color="auto"/>
        <w:bottom w:val="none" w:sz="0" w:space="0" w:color="auto"/>
        <w:right w:val="none" w:sz="0" w:space="0" w:color="auto"/>
      </w:divBdr>
    </w:div>
    <w:div w:id="2144931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kem@playgon.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ygon.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gamingontario.ca/en/news/igaming-ontarios-fy-2023-24-q3-market-performance-repor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gamingontario.ca/en/news/ontario-emerges-one-north-americas-largest-igaming-markets-first-yea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ygon.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CDfkNf5MZYHObz0Yz7JTGLco8g==">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Qwest Capital Inc</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Mercer</dc:creator>
  <cp:lastModifiedBy>Daniel Axler</cp:lastModifiedBy>
  <cp:revision>2</cp:revision>
  <dcterms:created xsi:type="dcterms:W3CDTF">2024-01-22T15:20:00Z</dcterms:created>
  <dcterms:modified xsi:type="dcterms:W3CDTF">2024-01-22T15:20:00Z</dcterms:modified>
</cp:coreProperties>
</file>